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149699" w14:textId="77777777" w:rsidR="00CB6797" w:rsidRDefault="00211394">
      <w:pPr>
        <w:pStyle w:val="Titulek"/>
        <w:rPr>
          <w:lang w:eastAsia="cs-CZ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3242104B" wp14:editId="2B77DF85">
                <wp:simplePos x="0" y="0"/>
                <wp:positionH relativeFrom="margin">
                  <wp:posOffset>1522730</wp:posOffset>
                </wp:positionH>
                <wp:positionV relativeFrom="margin">
                  <wp:posOffset>-269875</wp:posOffset>
                </wp:positionV>
                <wp:extent cx="4696460" cy="708660"/>
                <wp:effectExtent l="0" t="0" r="889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646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BE099" w14:textId="77777777" w:rsidR="00CB6797" w:rsidRDefault="00CB6797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1341EE1" w14:textId="77777777" w:rsidR="00CB6797" w:rsidRDefault="00211394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Nezaměstnanost v říjnu klesla na 3,4 %</w:t>
                            </w: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9F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9.9pt;margin-top:-21.25pt;width:369.8pt;height:55.8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" stroked="f">
                <v:textbox inset=".05pt,.05pt,.05pt,.05pt">
                  <w:txbxContent>
                    <w:p w14:paraId="72498B69" w14:textId="77777777" w:rsidR="00143C0C" w:rsidRDefault="00143C0C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0A762446" w14:textId="49C2E744" w:rsidR="00143C0C" w:rsidRPr="00CC089E" w:rsidRDefault="0032715E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C089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Nezaměstnanost v </w:t>
                      </w:r>
                      <w:r w:rsidR="00447281" w:rsidRPr="00CC089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říjnu</w:t>
                      </w:r>
                      <w:r w:rsidRPr="00CC089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klesla na 3,</w:t>
                      </w:r>
                      <w:r w:rsidR="00452ACA" w:rsidRPr="00CC089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4</w:t>
                      </w:r>
                      <w:r w:rsidRPr="00CC089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5E2486B" w14:textId="77777777" w:rsidR="00CB6797" w:rsidRDefault="00211394">
      <w:pPr>
        <w:spacing w:before="33" w:after="0"/>
        <w:ind w:left="1701" w:right="-23" w:firstLine="709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30C6B5BA" wp14:editId="52367431">
                <wp:simplePos x="0" y="0"/>
                <wp:positionH relativeFrom="margin">
                  <wp:posOffset>4731385</wp:posOffset>
                </wp:positionH>
                <wp:positionV relativeFrom="margin">
                  <wp:posOffset>-674370</wp:posOffset>
                </wp:positionV>
                <wp:extent cx="1491615" cy="309245"/>
                <wp:effectExtent l="0" t="1905" r="0" b="31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B1524" w14:textId="77777777" w:rsidR="00CB6797" w:rsidRDefault="00211394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     Praha, 8. 11. 2021</w:t>
                            </w: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57F5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72.55pt;margin-top:-53.1pt;width:117.45pt;height:24.3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" stroked="f">
                <v:textbox inset=".05pt,.05pt,.05pt,.05pt">
                  <w:txbxContent>
                    <w:p w14:paraId="2E2C544D" w14:textId="089D7F98" w:rsidR="00143C0C" w:rsidRDefault="0032715E">
                      <w:pPr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 xml:space="preserve">      Praha, </w:t>
                      </w:r>
                      <w:r w:rsidR="00674ED1">
                        <w:rPr>
                          <w:rFonts w:ascii="Arial" w:eastAsia="Arial" w:hAnsi="Arial" w:cs="Arial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</w:rPr>
                        <w:t>. 1</w:t>
                      </w:r>
                      <w:r w:rsidR="00674ED1">
                        <w:rPr>
                          <w:rFonts w:ascii="Arial" w:eastAsia="Arial" w:hAnsi="Arial" w:cs="Arial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</w:rPr>
                        <w:t>. 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E144A8E" wp14:editId="3B7CD964">
                <wp:simplePos x="0" y="0"/>
                <wp:positionH relativeFrom="column">
                  <wp:posOffset>7817485</wp:posOffset>
                </wp:positionH>
                <wp:positionV relativeFrom="paragraph">
                  <wp:posOffset>-1008380</wp:posOffset>
                </wp:positionV>
                <wp:extent cx="53975" cy="40005"/>
                <wp:effectExtent l="16510" t="10795" r="53340" b="15875"/>
                <wp:wrapNone/>
                <wp:docPr id="7" name="Rukopi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" cy="40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7A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" o:spid="_x0000_s1026" type="#_x0000_t75" style="position:absolute;margin-left:614.85pt;margin-top:-80.1pt;width:5.65pt;height: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">
                <v:imagedata r:id="rId8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3FACA6D2" wp14:editId="5D88A9CB">
                <wp:simplePos x="0" y="0"/>
                <wp:positionH relativeFrom="column">
                  <wp:posOffset>-552450</wp:posOffset>
                </wp:positionH>
                <wp:positionV relativeFrom="paragraph">
                  <wp:posOffset>169545</wp:posOffset>
                </wp:positionV>
                <wp:extent cx="1575435" cy="2590800"/>
                <wp:effectExtent l="0" t="0" r="0" b="19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09CF" w14:textId="77777777" w:rsidR="00CB6797" w:rsidRDefault="00211394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Úřad práce ČR</w:t>
                            </w:r>
                          </w:p>
                          <w:p w14:paraId="51760FA8" w14:textId="77777777" w:rsidR="00CB6797" w:rsidRDefault="00211394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Generální ředitelství</w:t>
                            </w:r>
                          </w:p>
                          <w:p w14:paraId="3943887B" w14:textId="77777777" w:rsidR="00CB6797" w:rsidRDefault="00CB6797">
                            <w:pPr>
                              <w:autoSpaceDE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color w:val="515251"/>
                              </w:rPr>
                            </w:pPr>
                          </w:p>
                          <w:p w14:paraId="6ED7B876" w14:textId="77777777" w:rsidR="00CB6797" w:rsidRDefault="00211394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Dobrovského 1278/25</w:t>
                            </w:r>
                          </w:p>
                          <w:p w14:paraId="64CC88A4" w14:textId="77777777" w:rsidR="00CB6797" w:rsidRDefault="00211394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170 00 PRAHA 7</w:t>
                            </w:r>
                          </w:p>
                          <w:p w14:paraId="15A2EC7F" w14:textId="77777777" w:rsidR="00CB6797" w:rsidRDefault="00CB6797">
                            <w:pPr>
                              <w:autoSpaceDE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color w:val="515251"/>
                              </w:rPr>
                            </w:pPr>
                          </w:p>
                          <w:p w14:paraId="265793B6" w14:textId="77777777" w:rsidR="00CB6797" w:rsidRDefault="00211394">
                            <w:pPr>
                              <w:spacing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Tel.: 950 180 111</w:t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B0731" id="Text Box 2" o:spid="_x0000_s1028" type="#_x0000_t202" style="position:absolute;left:0;text-align:left;margin-left:-43.5pt;margin-top:13.35pt;width:124.05pt;height:204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" stroked="f">
                <v:textbox inset="7.25pt,3.65pt,7.25pt,3.65pt">
                  <w:txbxContent>
                    <w:p w14:paraId="7C68D00A" w14:textId="77777777" w:rsidR="003A020B" w:rsidRDefault="0058716A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Úřad práce ČR</w:t>
                      </w:r>
                    </w:p>
                    <w:p w14:paraId="5C020E7C" w14:textId="77777777" w:rsidR="003A020B" w:rsidRDefault="0058716A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Generální ředitelství</w:t>
                      </w:r>
                    </w:p>
                    <w:p w14:paraId="55F298D1" w14:textId="77777777" w:rsidR="003A020B" w:rsidRDefault="003A020B">
                      <w:pPr>
                        <w:autoSpaceDE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color w:val="515251"/>
                        </w:rPr>
                      </w:pPr>
                    </w:p>
                    <w:p w14:paraId="56DD67BC" w14:textId="77777777" w:rsidR="003A020B" w:rsidRDefault="0058716A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Dobrovského 1278/25</w:t>
                      </w:r>
                    </w:p>
                    <w:p w14:paraId="06E18106" w14:textId="77777777" w:rsidR="003A020B" w:rsidRDefault="0058716A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170 00 PRAHA 7</w:t>
                      </w:r>
                    </w:p>
                    <w:p w14:paraId="141F81F9" w14:textId="77777777" w:rsidR="003A020B" w:rsidRDefault="003A020B">
                      <w:pPr>
                        <w:autoSpaceDE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color w:val="515251"/>
                        </w:rPr>
                      </w:pPr>
                    </w:p>
                    <w:p w14:paraId="17C9E92D" w14:textId="77777777" w:rsidR="003A020B" w:rsidRDefault="0058716A">
                      <w:pPr>
                        <w:spacing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Tel.: 950 180 111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5010CBC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>
        <w:rPr>
          <w:rFonts w:ascii="Arial" w:hAnsi="Arial" w:cs="Arial"/>
          <w:b/>
          <w:bCs/>
          <w:i/>
          <w:iCs/>
          <w:noProof/>
          <w:lang w:val="en-US" w:eastAsia="en-US"/>
        </w:rPr>
        <w:t>Úřad práce ČR evidoval k 31. 10. 2021 celkem 251 689 uchazečů o zaměstnání (UoZ), o 10 453 méně než v předchozím měsíci a o 19 996 méně než loni. Podíl nezaměstnaných osob činil 3,4 %. To je o 0, 1 p. b. méně než v září a o 0,3 p.b. méně než před rokem. Míra nezaměstnanosti byla podle posledních dostupných dat  EUROSTATU (za září 2021) nejnižší v celé EU, a to 2,5 % (průměr EU 6,6 %)</w:t>
      </w:r>
      <w:r>
        <w:rPr>
          <w:rFonts w:ascii="Arial" w:hAnsi="Arial" w:cs="Arial"/>
          <w:b/>
          <w:bCs/>
          <w:i/>
          <w:iCs/>
          <w:shd w:val="clear" w:color="auto" w:fill="FFFFFF"/>
        </w:rPr>
        <w:t>.</w:t>
      </w:r>
    </w:p>
    <w:p w14:paraId="5452564C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75C57ED1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0" w:name="_Hlk71271064"/>
      <w:r>
        <w:rPr>
          <w:rFonts w:ascii="Arial" w:hAnsi="Arial" w:cs="Arial"/>
          <w:bCs/>
        </w:rPr>
        <w:t xml:space="preserve">V říjnu klesla jak nezaměstnanost, tak počet volných pracovních míst. Trh práce ovlivňuje poptávka zaměstnavatelů po dělnických a technických profesích. Dlouhodobý zájem je i o kvalifikované řemeslníky. </w:t>
      </w:r>
    </w:p>
    <w:tbl>
      <w:tblPr>
        <w:tblStyle w:val="Prosttabulka2"/>
        <w:tblpPr w:leftFromText="141" w:rightFromText="141" w:vertAnchor="text" w:horzAnchor="margin" w:tblpX="1808" w:tblpY="135"/>
        <w:tblW w:w="4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4"/>
        <w:gridCol w:w="1275"/>
        <w:gridCol w:w="1134"/>
        <w:gridCol w:w="1134"/>
      </w:tblGrid>
      <w:tr w:rsidR="00CB6797" w14:paraId="4447C576" w14:textId="77777777" w:rsidTr="00CB67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pct"/>
            <w:shd w:val="clear" w:color="auto" w:fill="FFFF00"/>
          </w:tcPr>
          <w:p w14:paraId="349F16A1" w14:textId="77777777" w:rsidR="00CB6797" w:rsidRDefault="00CB6797">
            <w:pPr>
              <w:spacing w:before="33" w:after="0"/>
              <w:ind w:left="142" w:right="-23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" w:name="OLE_LINK1"/>
            <w:bookmarkStart w:id="2" w:name="OLE_LINK2"/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7F7F7F"/>
              <w:right w:val="nil"/>
            </w:tcBorders>
            <w:shd w:val="clear" w:color="000000" w:fill="FFFF00"/>
            <w:vAlign w:val="center"/>
          </w:tcPr>
          <w:p w14:paraId="5633FE52" w14:textId="77777777" w:rsidR="00CB6797" w:rsidRDefault="00211394">
            <w:pPr>
              <w:spacing w:before="33" w:after="0"/>
              <w:ind w:left="142" w:right="-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10/2021</w:t>
            </w:r>
          </w:p>
        </w:tc>
        <w:tc>
          <w:tcPr>
            <w:tcW w:w="690" w:type="pct"/>
            <w:tcBorders>
              <w:top w:val="single" w:sz="8" w:space="0" w:color="auto"/>
              <w:left w:val="nil"/>
              <w:bottom w:val="single" w:sz="8" w:space="0" w:color="7F7F7F"/>
              <w:right w:val="nil"/>
            </w:tcBorders>
            <w:shd w:val="clear" w:color="000000" w:fill="FFFF00"/>
            <w:vAlign w:val="center"/>
          </w:tcPr>
          <w:p w14:paraId="23B075D8" w14:textId="77777777" w:rsidR="00CB6797" w:rsidRDefault="00211394">
            <w:pPr>
              <w:spacing w:before="33" w:after="0"/>
              <w:ind w:right="-2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10/2020</w:t>
            </w:r>
          </w:p>
        </w:tc>
        <w:tc>
          <w:tcPr>
            <w:tcW w:w="690" w:type="pct"/>
            <w:tcBorders>
              <w:top w:val="single" w:sz="8" w:space="0" w:color="auto"/>
              <w:left w:val="nil"/>
              <w:bottom w:val="single" w:sz="8" w:space="0" w:color="7F7F7F"/>
              <w:right w:val="single" w:sz="8" w:space="0" w:color="auto"/>
            </w:tcBorders>
            <w:shd w:val="clear" w:color="000000" w:fill="FFFF00"/>
            <w:vAlign w:val="center"/>
          </w:tcPr>
          <w:p w14:paraId="43A5A215" w14:textId="77777777" w:rsidR="00CB6797" w:rsidRDefault="00211394">
            <w:pPr>
              <w:spacing w:before="33" w:after="0"/>
              <w:ind w:right="-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10/2019</w:t>
            </w:r>
          </w:p>
        </w:tc>
      </w:tr>
      <w:tr w:rsidR="00CB6797" w14:paraId="1C7CA115" w14:textId="77777777" w:rsidTr="00CB6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pct"/>
            <w:vAlign w:val="center"/>
          </w:tcPr>
          <w:p w14:paraId="106F24CC" w14:textId="77777777" w:rsidR="00CB6797" w:rsidRDefault="00211394">
            <w:pPr>
              <w:spacing w:before="33" w:after="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Podíl nezaměstnaných osob v ČR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12E3734A" w14:textId="77777777" w:rsidR="00CB6797" w:rsidRDefault="00211394">
            <w:pPr>
              <w:spacing w:before="33" w:after="0"/>
              <w:ind w:left="142"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3,4 %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ACA94CE" w14:textId="77777777" w:rsidR="00CB6797" w:rsidRDefault="00211394">
            <w:pPr>
              <w:spacing w:before="33" w:after="0"/>
              <w:ind w:left="142"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3,7 %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7F7F7F"/>
              <w:right w:val="single" w:sz="8" w:space="0" w:color="auto"/>
            </w:tcBorders>
            <w:shd w:val="clear" w:color="auto" w:fill="auto"/>
            <w:vAlign w:val="center"/>
          </w:tcPr>
          <w:p w14:paraId="08BB8226" w14:textId="77777777" w:rsidR="00CB6797" w:rsidRDefault="00211394">
            <w:pPr>
              <w:spacing w:before="33" w:after="0"/>
              <w:ind w:left="142"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2,6 %</w:t>
            </w:r>
          </w:p>
        </w:tc>
      </w:tr>
      <w:tr w:rsidR="00CB6797" w14:paraId="0480FA4F" w14:textId="77777777" w:rsidTr="00CB6797">
        <w:trPr>
          <w:trHeight w:hRule="exact"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pct"/>
            <w:vAlign w:val="center"/>
          </w:tcPr>
          <w:p w14:paraId="743C5BB9" w14:textId="77777777" w:rsidR="00CB6797" w:rsidRDefault="00211394">
            <w:pPr>
              <w:spacing w:before="33" w:after="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Počet uchazečů o zaměstnání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4A97B1C8" w14:textId="77777777" w:rsidR="00CB6797" w:rsidRDefault="00211394">
            <w:pPr>
              <w:spacing w:before="33" w:after="0"/>
              <w:ind w:left="142"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251 689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88C1CF3" w14:textId="77777777" w:rsidR="00CB6797" w:rsidRDefault="00211394">
            <w:pPr>
              <w:spacing w:before="33" w:after="0"/>
              <w:ind w:left="142"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271 685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7F7F7F"/>
              <w:right w:val="single" w:sz="8" w:space="0" w:color="auto"/>
            </w:tcBorders>
            <w:shd w:val="clear" w:color="auto" w:fill="auto"/>
            <w:vAlign w:val="center"/>
          </w:tcPr>
          <w:p w14:paraId="723F6134" w14:textId="77777777" w:rsidR="00CB6797" w:rsidRDefault="00211394">
            <w:pPr>
              <w:spacing w:before="33" w:after="0"/>
              <w:ind w:left="142"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196 518</w:t>
            </w:r>
          </w:p>
        </w:tc>
      </w:tr>
      <w:tr w:rsidR="00CB6797" w14:paraId="6032D3CE" w14:textId="77777777" w:rsidTr="00CB6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pct"/>
            <w:vAlign w:val="center"/>
          </w:tcPr>
          <w:p w14:paraId="630F6A42" w14:textId="77777777" w:rsidR="00CB6797" w:rsidRDefault="00211394">
            <w:pPr>
              <w:spacing w:before="33" w:after="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Počet dosažitelných uchazečů o zaměstnání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616C63B4" w14:textId="77777777" w:rsidR="00CB6797" w:rsidRDefault="00211394">
            <w:pPr>
              <w:spacing w:before="33" w:after="0"/>
              <w:ind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230 177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1639E8A7" w14:textId="77777777" w:rsidR="00CB6797" w:rsidRDefault="00211394">
            <w:pPr>
              <w:spacing w:before="33" w:after="0"/>
              <w:ind w:left="142"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252 364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7F7F7F"/>
              <w:right w:val="single" w:sz="8" w:space="0" w:color="auto"/>
            </w:tcBorders>
            <w:shd w:val="clear" w:color="auto" w:fill="auto"/>
            <w:vAlign w:val="center"/>
          </w:tcPr>
          <w:p w14:paraId="469F1699" w14:textId="77777777" w:rsidR="00CB6797" w:rsidRDefault="00211394">
            <w:pPr>
              <w:spacing w:before="33" w:after="0"/>
              <w:ind w:left="142"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177 076</w:t>
            </w:r>
          </w:p>
        </w:tc>
      </w:tr>
      <w:tr w:rsidR="00CB6797" w14:paraId="1D723807" w14:textId="77777777" w:rsidTr="00CB6797">
        <w:trPr>
          <w:trHeight w:hRule="exact"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pct"/>
            <w:vAlign w:val="center"/>
          </w:tcPr>
          <w:p w14:paraId="18F47914" w14:textId="77777777" w:rsidR="00CB6797" w:rsidRDefault="00211394">
            <w:pPr>
              <w:spacing w:before="33" w:after="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Míra nezaměstnanosti dle EUROSTAT (září)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5D5B5AD" w14:textId="77777777" w:rsidR="00CB6797" w:rsidRDefault="00211394">
            <w:pPr>
              <w:spacing w:before="33" w:after="0"/>
              <w:ind w:left="142"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2,5 %</w:t>
            </w:r>
          </w:p>
        </w:tc>
        <w:tc>
          <w:tcPr>
            <w:tcW w:w="69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A79DA5" w14:textId="77777777" w:rsidR="00CB6797" w:rsidRDefault="00211394">
            <w:pPr>
              <w:spacing w:before="33" w:after="0"/>
              <w:ind w:left="142"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2,8 %</w:t>
            </w:r>
          </w:p>
        </w:tc>
        <w:tc>
          <w:tcPr>
            <w:tcW w:w="6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776B8" w14:textId="77777777" w:rsidR="00CB6797" w:rsidRDefault="00211394">
            <w:pPr>
              <w:spacing w:before="33" w:after="0"/>
              <w:ind w:left="142"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2,1 %</w:t>
            </w:r>
          </w:p>
        </w:tc>
      </w:tr>
      <w:bookmarkEnd w:id="1"/>
      <w:bookmarkEnd w:id="2"/>
    </w:tbl>
    <w:p w14:paraId="41DC2D73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36C86480" w14:textId="61238640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„Nadále je zájem i o sezónní pracovníky v oblastech jako je zemědělství, zahradnictví, lesnictví, rybářství nebo třeba živočišná a potravinářská výroba a obchod. V následujících měsících nezaměstnanost s největší pravděpodobností v souvislosti s útlumem sezónních prací, zejména v zemědělství a v lesnictví, vzroste. Situace na trhu práce se bude odvíjet především od aktuální </w:t>
      </w:r>
      <w:r w:rsidR="0083187B">
        <w:rPr>
          <w:rFonts w:ascii="Arial" w:hAnsi="Arial" w:cs="Arial"/>
          <w:b/>
          <w:i/>
          <w:iCs/>
        </w:rPr>
        <w:t>epidemické</w:t>
      </w:r>
      <w:r>
        <w:rPr>
          <w:rFonts w:ascii="Arial" w:hAnsi="Arial" w:cs="Arial"/>
          <w:b/>
          <w:i/>
          <w:iCs/>
        </w:rPr>
        <w:t xml:space="preserve"> situace,“ </w:t>
      </w:r>
      <w:r>
        <w:rPr>
          <w:rFonts w:ascii="Arial" w:hAnsi="Arial" w:cs="Arial"/>
          <w:bCs/>
        </w:rPr>
        <w:t xml:space="preserve">shrnuje generální ředitel Úřadu práce ČR </w:t>
      </w:r>
      <w:r>
        <w:rPr>
          <w:rFonts w:ascii="Arial" w:hAnsi="Arial" w:cs="Arial"/>
          <w:b/>
        </w:rPr>
        <w:t>Viktor Najmon.</w:t>
      </w:r>
    </w:p>
    <w:p w14:paraId="40C46688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  <w:i/>
          <w:iCs/>
        </w:rPr>
      </w:pPr>
      <w:bookmarkStart w:id="3" w:name="_Hlk71271229"/>
      <w:bookmarkEnd w:id="0"/>
    </w:p>
    <w:bookmarkEnd w:id="3"/>
    <w:p w14:paraId="499E35B0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557E8950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72669CDF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659D1CE8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Nezaměstnanost v regionech</w:t>
      </w:r>
    </w:p>
    <w:p w14:paraId="576AE0E6" w14:textId="0A390E5D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EE6B2FA" wp14:editId="536CFFAE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32404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60" y="21427"/>
                <wp:lineTo x="21460" y="0"/>
                <wp:lineTo x="0" y="0"/>
              </wp:wrapPolygon>
            </wp:wrapTight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Nejvyšší podíl nezaměstnaných osob</w:t>
      </w:r>
      <w:r>
        <w:rPr>
          <w:rFonts w:ascii="Arial" w:hAnsi="Arial" w:cs="Arial"/>
          <w:bCs/>
        </w:rPr>
        <w:t xml:space="preserve"> byl v říjnu v Moravskoslezském (5,1 %), Ústeckém (5 %) a Karlovarském kraji (4,3 %). Tyto tři regiony měly nejvyšší podíl nezaměstnaných osob i v říjnu loňského roku, což odpovídá jejich dlouhodobé ekonomické situaci. Naopak </w:t>
      </w:r>
      <w:r>
        <w:rPr>
          <w:rFonts w:ascii="Arial" w:hAnsi="Arial" w:cs="Arial"/>
          <w:b/>
        </w:rPr>
        <w:t xml:space="preserve">nejnižší nezaměstnanost </w:t>
      </w:r>
      <w:r>
        <w:rPr>
          <w:rFonts w:ascii="Arial" w:hAnsi="Arial" w:cs="Arial"/>
          <w:bCs/>
        </w:rPr>
        <w:t>zůstává v Pardubickém kraji (2,1 %).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Meziročně se situace</w:t>
      </w:r>
      <w:r>
        <w:rPr>
          <w:rFonts w:ascii="Arial" w:hAnsi="Arial" w:cs="Arial"/>
          <w:bCs/>
        </w:rPr>
        <w:t xml:space="preserve"> nejvíce změnila </w:t>
      </w:r>
      <w:r w:rsidR="0083187B">
        <w:rPr>
          <w:rFonts w:ascii="Arial" w:hAnsi="Arial" w:cs="Arial"/>
          <w:bCs/>
        </w:rPr>
        <w:t>na Karlovarsku</w:t>
      </w:r>
      <w:r>
        <w:rPr>
          <w:rFonts w:ascii="Arial" w:hAnsi="Arial" w:cs="Arial"/>
          <w:bCs/>
        </w:rPr>
        <w:t xml:space="preserve">, kde podíl nezaměstnaných osob oproti říjnu 2020 poklesl o 0,7 p. b. na 4,3 %. V okresech jsou rozdíly ještě více patrné. Nejnižší nezaměstnanost byla ke konci předchozího měsíce v okresech Praha-východ (1,4 %), Rychnov nad Kněžnou (1,6 %), Pelhřimov, Jindřichův Hradec a Benešov (1,7 %).  Naopak nejvyšší podíl nezaměstnaných hlásí okres Karviná (8,6 %), Most (6,4 %) a Ostrava-město (6 %). </w:t>
      </w:r>
    </w:p>
    <w:p w14:paraId="3A42B19F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2BA4E0FA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Struktura uchazečů o zaměstnání</w:t>
      </w:r>
    </w:p>
    <w:p w14:paraId="6F57A3D8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 celkového počtu evidovaných uchazečů tvořily </w:t>
      </w:r>
      <w:r>
        <w:rPr>
          <w:rFonts w:ascii="Arial" w:hAnsi="Arial" w:cs="Arial"/>
          <w:b/>
          <w:bCs/>
        </w:rPr>
        <w:t>52,9 % ženy</w:t>
      </w:r>
      <w:r>
        <w:rPr>
          <w:rFonts w:ascii="Arial" w:hAnsi="Arial" w:cs="Arial"/>
          <w:bCs/>
        </w:rPr>
        <w:t xml:space="preserve">, což představuje </w:t>
      </w:r>
      <w:r>
        <w:rPr>
          <w:rFonts w:ascii="Arial" w:hAnsi="Arial" w:cs="Arial"/>
          <w:b/>
        </w:rPr>
        <w:t>133 147</w:t>
      </w:r>
      <w:r>
        <w:rPr>
          <w:rFonts w:ascii="Arial" w:hAnsi="Arial" w:cs="Arial"/>
          <w:bCs/>
        </w:rPr>
        <w:t xml:space="preserve"> nezaměstnaných. Podíl nezaměstnaných žen činil </w:t>
      </w:r>
      <w:r>
        <w:rPr>
          <w:rFonts w:ascii="Arial" w:hAnsi="Arial" w:cs="Arial"/>
          <w:b/>
        </w:rPr>
        <w:t>3,7 %</w:t>
      </w:r>
      <w:r>
        <w:rPr>
          <w:rFonts w:ascii="Arial" w:hAnsi="Arial" w:cs="Arial"/>
          <w:bCs/>
        </w:rPr>
        <w:t xml:space="preserve"> a mužů </w:t>
      </w:r>
      <w:r>
        <w:rPr>
          <w:rFonts w:ascii="Arial" w:hAnsi="Arial" w:cs="Arial"/>
          <w:b/>
        </w:rPr>
        <w:t>3,1 %</w:t>
      </w:r>
      <w:r>
        <w:rPr>
          <w:rFonts w:ascii="Arial" w:hAnsi="Arial" w:cs="Arial"/>
          <w:bCs/>
        </w:rPr>
        <w:t xml:space="preserve">. U žen i u mužů došlo k meziměsíčnímu poklesu o 0,2 p. b. </w:t>
      </w:r>
    </w:p>
    <w:p w14:paraId="10358B2F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 uplynulém měsíci hledalo práci prostřednictvím ÚP ČR </w:t>
      </w:r>
      <w:r>
        <w:rPr>
          <w:rFonts w:ascii="Arial" w:hAnsi="Arial" w:cs="Arial"/>
          <w:b/>
        </w:rPr>
        <w:t>37 460</w:t>
      </w:r>
      <w:r>
        <w:rPr>
          <w:rFonts w:ascii="Arial" w:hAnsi="Arial" w:cs="Arial"/>
          <w:bCs/>
        </w:rPr>
        <w:t xml:space="preserve"> osob se zdravotním postižením (OZP) – </w:t>
      </w:r>
      <w:r>
        <w:rPr>
          <w:rFonts w:ascii="Arial" w:hAnsi="Arial" w:cs="Arial"/>
          <w:b/>
        </w:rPr>
        <w:t>14,9 %</w:t>
      </w:r>
      <w:r>
        <w:rPr>
          <w:rFonts w:ascii="Arial" w:hAnsi="Arial" w:cs="Arial"/>
          <w:bCs/>
        </w:rPr>
        <w:t xml:space="preserve"> z celkového počtu nezaměstnaných.</w:t>
      </w:r>
    </w:p>
    <w:p w14:paraId="71294B56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Průměrný věk</w:t>
      </w:r>
      <w:r>
        <w:rPr>
          <w:rFonts w:ascii="Arial" w:hAnsi="Arial" w:cs="Arial"/>
          <w:bCs/>
        </w:rPr>
        <w:t xml:space="preserve"> nezaměstnaných byl </w:t>
      </w:r>
      <w:r>
        <w:rPr>
          <w:rFonts w:ascii="Arial" w:hAnsi="Arial" w:cs="Arial"/>
          <w:b/>
          <w:bCs/>
        </w:rPr>
        <w:t>v říjnu 43,1 roku</w:t>
      </w:r>
      <w:r>
        <w:rPr>
          <w:rFonts w:ascii="Arial" w:hAnsi="Arial" w:cs="Arial"/>
          <w:bCs/>
        </w:rPr>
        <w:t xml:space="preserve">, zatímco loni to bylo </w:t>
      </w:r>
      <w:r>
        <w:rPr>
          <w:rFonts w:ascii="Arial" w:hAnsi="Arial" w:cs="Arial"/>
          <w:b/>
          <w:bCs/>
        </w:rPr>
        <w:t xml:space="preserve">42,2 roku. </w:t>
      </w:r>
      <w:r>
        <w:rPr>
          <w:rFonts w:ascii="Arial" w:hAnsi="Arial" w:cs="Arial"/>
          <w:bCs/>
        </w:rPr>
        <w:t xml:space="preserve">Věková struktura uchazečů o zaměstnání se za posledních pět let výrazně nemění. A i v průběhu uplynulých 12 měsíců došlo pouze k mírným změnám. </w:t>
      </w:r>
    </w:p>
    <w:p w14:paraId="583C0419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17998E68" wp14:editId="78F8D73D">
            <wp:simplePos x="0" y="0"/>
            <wp:positionH relativeFrom="column">
              <wp:posOffset>1027430</wp:posOffset>
            </wp:positionH>
            <wp:positionV relativeFrom="paragraph">
              <wp:posOffset>215900</wp:posOffset>
            </wp:positionV>
            <wp:extent cx="31242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8" y="21404"/>
                <wp:lineTo x="21468" y="0"/>
                <wp:lineTo x="0" y="0"/>
              </wp:wrapPolygon>
            </wp:wrapTight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V meziročním srovnání poklesl podíl nezaměstnaných osob ve věkové skupině </w:t>
      </w:r>
      <w:r>
        <w:rPr>
          <w:rFonts w:ascii="Arial" w:hAnsi="Arial" w:cs="Arial"/>
          <w:b/>
        </w:rPr>
        <w:t>do 29 let</w:t>
      </w:r>
      <w:r>
        <w:rPr>
          <w:rFonts w:ascii="Arial" w:hAnsi="Arial" w:cs="Arial"/>
          <w:bCs/>
        </w:rPr>
        <w:t xml:space="preserve">, naopak se zvýšil podíl osob v kategorii </w:t>
      </w:r>
      <w:r>
        <w:rPr>
          <w:rFonts w:ascii="Arial" w:hAnsi="Arial" w:cs="Arial"/>
          <w:b/>
        </w:rPr>
        <w:t>50 plus</w:t>
      </w:r>
      <w:r>
        <w:rPr>
          <w:rFonts w:ascii="Arial" w:hAnsi="Arial" w:cs="Arial"/>
          <w:bCs/>
        </w:rPr>
        <w:t xml:space="preserve">. V případě této skupiny uchazečů o zaměstnání došlo k nárůstu o 2,6 p. b. (ale v absolutním vyjádření jde o pokles o 469 osob). V evidenci ÚP ČR jich bylo k 31.10. 2021 celkem </w:t>
      </w:r>
      <w:r>
        <w:rPr>
          <w:rFonts w:ascii="Arial" w:hAnsi="Arial" w:cs="Arial"/>
          <w:b/>
        </w:rPr>
        <w:t>92 802</w:t>
      </w:r>
      <w:r>
        <w:rPr>
          <w:rFonts w:ascii="Arial" w:hAnsi="Arial" w:cs="Arial"/>
          <w:bCs/>
        </w:rPr>
        <w:t xml:space="preserve"> a tvořili </w:t>
      </w:r>
      <w:r>
        <w:rPr>
          <w:rFonts w:ascii="Arial" w:hAnsi="Arial" w:cs="Arial"/>
          <w:b/>
        </w:rPr>
        <w:t>36,9 %</w:t>
      </w:r>
      <w:r>
        <w:rPr>
          <w:rFonts w:ascii="Arial" w:hAnsi="Arial" w:cs="Arial"/>
          <w:bCs/>
        </w:rPr>
        <w:t xml:space="preserve"> z celkového počtu nezaměstnaných.</w:t>
      </w:r>
    </w:p>
    <w:p w14:paraId="1176159E" w14:textId="77777777" w:rsidR="00CB6797" w:rsidRDefault="00211394">
      <w:pPr>
        <w:spacing w:before="33" w:after="0"/>
        <w:ind w:left="1701" w:right="-23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D66267C" wp14:editId="579CBD6C">
            <wp:simplePos x="0" y="0"/>
            <wp:positionH relativeFrom="margin">
              <wp:posOffset>3046095</wp:posOffset>
            </wp:positionH>
            <wp:positionV relativeFrom="paragraph">
              <wp:posOffset>416560</wp:posOffset>
            </wp:positionV>
            <wp:extent cx="3016250" cy="2143125"/>
            <wp:effectExtent l="0" t="0" r="0" b="0"/>
            <wp:wrapTight wrapText="bothSides">
              <wp:wrapPolygon edited="0">
                <wp:start x="0" y="0"/>
                <wp:lineTo x="0" y="21312"/>
                <wp:lineTo x="21418" y="21312"/>
                <wp:lineTo x="21418" y="0"/>
                <wp:lineTo x="0" y="0"/>
              </wp:wrapPolygon>
            </wp:wrapTight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         Bez práce byli nejčastěji uchazeči o zaměstnání </w:t>
      </w:r>
      <w:r>
        <w:rPr>
          <w:rFonts w:ascii="Arial" w:hAnsi="Arial" w:cs="Arial"/>
          <w:b/>
          <w:bCs/>
        </w:rPr>
        <w:t xml:space="preserve">s nižší kvalifikací, především s vyučením bez maturity a se základním vzděláním. </w:t>
      </w:r>
      <w:r>
        <w:rPr>
          <w:rFonts w:ascii="Arial" w:hAnsi="Arial" w:cs="Arial"/>
          <w:bCs/>
        </w:rPr>
        <w:t xml:space="preserve">Změny ve struktuře nezaměstnaných podle vzdělanosti ukazují, že k nejvyššímu meziročnímu poklesu došlo v případě evidovaných uchazečů vyučených (o 7 308) a uchazečů se střední školou (o 5 945). </w:t>
      </w:r>
    </w:p>
    <w:p w14:paraId="7A27FC67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Pokud jde o rozdělení podle </w:t>
      </w:r>
      <w:r>
        <w:rPr>
          <w:rFonts w:ascii="Arial" w:hAnsi="Arial" w:cs="Arial"/>
          <w:b/>
          <w:bCs/>
        </w:rPr>
        <w:t>profesí</w:t>
      </w:r>
      <w:r>
        <w:rPr>
          <w:rFonts w:ascii="Arial" w:hAnsi="Arial" w:cs="Arial"/>
          <w:bCs/>
        </w:rPr>
        <w:t xml:space="preserve">, ke konci října bylo v evidenci ÚP ČR </w:t>
      </w:r>
      <w:r>
        <w:rPr>
          <w:rFonts w:ascii="Arial" w:hAnsi="Arial" w:cs="Arial"/>
          <w:b/>
          <w:bCs/>
        </w:rPr>
        <w:t>nejvíce pomocných a nekvalifikovaných pracovníků</w:t>
      </w:r>
      <w:r>
        <w:rPr>
          <w:rFonts w:ascii="Arial" w:hAnsi="Arial" w:cs="Arial"/>
        </w:rPr>
        <w:t>, a to</w:t>
      </w:r>
      <w:r>
        <w:rPr>
          <w:rFonts w:ascii="Arial" w:hAnsi="Arial" w:cs="Arial"/>
          <w:b/>
          <w:bCs/>
        </w:rPr>
        <w:t xml:space="preserve"> 73 487.  </w:t>
      </w:r>
    </w:p>
    <w:p w14:paraId="6B0AE97C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5BF88223" wp14:editId="67A566DB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2609850" cy="1952625"/>
            <wp:effectExtent l="0" t="0" r="0" b="0"/>
            <wp:wrapTight wrapText="bothSides">
              <wp:wrapPolygon edited="0">
                <wp:start x="0" y="0"/>
                <wp:lineTo x="0" y="21284"/>
                <wp:lineTo x="21442" y="21284"/>
                <wp:lineTo x="21442" y="0"/>
                <wp:lineTo x="0" y="0"/>
              </wp:wrapPolygon>
            </wp:wrapTight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Bez práce bylo ke konci předchozího měsíce </w:t>
      </w:r>
      <w:r>
        <w:rPr>
          <w:rFonts w:ascii="Arial" w:hAnsi="Arial" w:cs="Arial"/>
          <w:b/>
        </w:rPr>
        <w:t>14 654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absolventů škol všech stupňů vzdělání a mladistvých</w:t>
      </w:r>
      <w:r>
        <w:rPr>
          <w:rFonts w:ascii="Arial" w:hAnsi="Arial" w:cs="Arial"/>
        </w:rPr>
        <w:t xml:space="preserve">. Meziměsíčně je to méně o 1 361, meziročně pak méně o 488 lidí. Na celkové nezaměstnanosti se podíleli 5,8 % (září 2021 – 6,1 %, říjen 2020 – 5,6 %). Z celkového počtu absolventů a mladistvých bylo ke konci října v evidenci ÚP ČR </w:t>
      </w:r>
      <w:r>
        <w:rPr>
          <w:rFonts w:ascii="Arial" w:hAnsi="Arial" w:cs="Arial"/>
          <w:b/>
          <w:bCs/>
        </w:rPr>
        <w:t>11 192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absolventů</w:t>
      </w:r>
      <w:r>
        <w:rPr>
          <w:rFonts w:ascii="Arial" w:hAnsi="Arial" w:cs="Arial"/>
        </w:rPr>
        <w:t>.</w:t>
      </w:r>
    </w:p>
    <w:p w14:paraId="1CAC33CF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F67E036" wp14:editId="5F114CBC">
            <wp:simplePos x="0" y="0"/>
            <wp:positionH relativeFrom="margin">
              <wp:posOffset>1031240</wp:posOffset>
            </wp:positionH>
            <wp:positionV relativeFrom="paragraph">
              <wp:posOffset>614680</wp:posOffset>
            </wp:positionV>
            <wp:extent cx="3048000" cy="2105025"/>
            <wp:effectExtent l="0" t="0" r="0" b="0"/>
            <wp:wrapTight wrapText="bothSides">
              <wp:wrapPolygon edited="0">
                <wp:start x="0" y="0"/>
                <wp:lineTo x="0" y="21307"/>
                <wp:lineTo x="21465" y="21307"/>
                <wp:lineTo x="21465" y="0"/>
                <wp:lineTo x="0" y="0"/>
              </wp:wrapPolygon>
            </wp:wrapTight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Za posledních 12 měsíců se změnila struktura uchazečů o zaměstnání </w:t>
      </w:r>
      <w:r>
        <w:rPr>
          <w:rFonts w:ascii="Arial" w:hAnsi="Arial" w:cs="Arial"/>
          <w:b/>
        </w:rPr>
        <w:t>podle délky setrvání v evidenci</w:t>
      </w:r>
      <w:r>
        <w:rPr>
          <w:rFonts w:ascii="Arial" w:hAnsi="Arial" w:cs="Arial"/>
          <w:bCs/>
        </w:rPr>
        <w:t xml:space="preserve"> ÚP ČR. V říjnu 2021 vzrostl v meziročním srovnání podíl těch, kteří jsou bez práce déle než 12 měsíců na celkovém počtu nezaměstnaných o 12,7 p. b. na </w:t>
      </w:r>
      <w:r>
        <w:rPr>
          <w:rFonts w:ascii="Arial" w:hAnsi="Arial" w:cs="Arial"/>
          <w:b/>
        </w:rPr>
        <w:t>35,6 %</w:t>
      </w:r>
      <w:r>
        <w:rPr>
          <w:rFonts w:ascii="Arial" w:hAnsi="Arial" w:cs="Arial"/>
          <w:bCs/>
        </w:rPr>
        <w:t xml:space="preserve">, tedy celkem na </w:t>
      </w:r>
      <w:r>
        <w:rPr>
          <w:rFonts w:ascii="Arial" w:hAnsi="Arial" w:cs="Arial"/>
          <w:b/>
        </w:rPr>
        <w:t>89 647</w:t>
      </w:r>
      <w:r>
        <w:rPr>
          <w:rFonts w:ascii="Arial" w:hAnsi="Arial" w:cs="Arial"/>
          <w:b/>
          <w:bCs/>
        </w:rPr>
        <w:t xml:space="preserve"> osob,</w:t>
      </w:r>
      <w:r>
        <w:rPr>
          <w:rFonts w:ascii="Arial" w:hAnsi="Arial" w:cs="Arial"/>
          <w:bCs/>
        </w:rPr>
        <w:t xml:space="preserve"> a to zejména v důsledku ekonomické krize způsobené epidemií COVID-19. </w:t>
      </w:r>
      <w:r>
        <w:rPr>
          <w:rFonts w:ascii="Arial" w:hAnsi="Arial" w:cs="Arial"/>
          <w:b/>
        </w:rPr>
        <w:t xml:space="preserve"> Průměrná délka evidence</w:t>
      </w:r>
      <w:r>
        <w:rPr>
          <w:rFonts w:ascii="Arial" w:hAnsi="Arial" w:cs="Arial"/>
          <w:bCs/>
        </w:rPr>
        <w:t xml:space="preserve"> se ve srovnání se zářím prodloužila </w:t>
      </w:r>
      <w:r>
        <w:rPr>
          <w:rFonts w:ascii="Arial" w:hAnsi="Arial" w:cs="Arial"/>
        </w:rPr>
        <w:t>o 14 na</w:t>
      </w:r>
      <w:r>
        <w:rPr>
          <w:rFonts w:ascii="Arial" w:hAnsi="Arial" w:cs="Arial"/>
          <w:b/>
          <w:bCs/>
        </w:rPr>
        <w:t xml:space="preserve"> 516 dnů</w:t>
      </w:r>
      <w:r>
        <w:rPr>
          <w:rFonts w:ascii="Arial" w:hAnsi="Arial" w:cs="Arial"/>
          <w:bCs/>
        </w:rPr>
        <w:t>.</w:t>
      </w:r>
    </w:p>
    <w:p w14:paraId="154C461F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2A2AD666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Noví a umístění uchazeči o zaměstnání</w:t>
      </w:r>
    </w:p>
    <w:p w14:paraId="486FD74D" w14:textId="7A407EAE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4" w:name="_Hlk73525876"/>
      <w:r>
        <w:rPr>
          <w:rFonts w:ascii="Arial" w:hAnsi="Arial" w:cs="Arial"/>
          <w:bCs/>
        </w:rPr>
        <w:t xml:space="preserve">Během října se na Úřadu práce ČR nově zaevidovalo </w:t>
      </w:r>
      <w:r>
        <w:rPr>
          <w:rFonts w:ascii="Arial" w:hAnsi="Arial" w:cs="Arial"/>
          <w:b/>
          <w:bCs/>
        </w:rPr>
        <w:t>30 196</w:t>
      </w:r>
      <w:r>
        <w:rPr>
          <w:rFonts w:ascii="Arial" w:hAnsi="Arial" w:cs="Arial"/>
          <w:bCs/>
        </w:rPr>
        <w:t xml:space="preserve"> lidí.</w:t>
      </w:r>
      <w:bookmarkEnd w:id="4"/>
      <w:r>
        <w:rPr>
          <w:rFonts w:ascii="Arial" w:hAnsi="Arial" w:cs="Arial"/>
          <w:bCs/>
        </w:rPr>
        <w:t xml:space="preserve"> To je meziměsíčně méně o 12 739 osob a meziročně méně o 6 043 uchazečů. </w:t>
      </w:r>
      <w:r>
        <w:rPr>
          <w:rFonts w:ascii="Arial" w:hAnsi="Arial" w:cs="Arial"/>
          <w:b/>
          <w:bCs/>
        </w:rPr>
        <w:t>Nejvíce nových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nezaměstnaných</w:t>
      </w:r>
      <w:r>
        <w:rPr>
          <w:rFonts w:ascii="Arial" w:hAnsi="Arial" w:cs="Arial"/>
          <w:bCs/>
        </w:rPr>
        <w:t xml:space="preserve"> hlásí Moravskoslezský (4 125) a Středočeský kraj (3 612). Naopak </w:t>
      </w:r>
      <w:r>
        <w:rPr>
          <w:rFonts w:ascii="Arial" w:hAnsi="Arial" w:cs="Arial"/>
          <w:b/>
          <w:bCs/>
        </w:rPr>
        <w:t>nejméně</w:t>
      </w:r>
      <w:r>
        <w:rPr>
          <w:rFonts w:ascii="Arial" w:hAnsi="Arial" w:cs="Arial"/>
          <w:bCs/>
        </w:rPr>
        <w:t xml:space="preserve"> kraj Karlovarský (976). Z hlediska okresů pak nejvíce nově nezaměstnaných vstoupilo do evidence ÚP ČR v Praze (3 073) a nejméně na Rokycansku (123). </w:t>
      </w:r>
      <w:r>
        <w:rPr>
          <w:rFonts w:ascii="Arial" w:hAnsi="Arial" w:cs="Arial"/>
          <w:b/>
          <w:bCs/>
        </w:rPr>
        <w:t>O zprostředkování zaměstnání a zařazení do evidence</w:t>
      </w:r>
      <w:r>
        <w:rPr>
          <w:rFonts w:ascii="Arial" w:hAnsi="Arial" w:cs="Arial"/>
          <w:bCs/>
        </w:rPr>
        <w:t xml:space="preserve"> </w:t>
      </w:r>
      <w:r w:rsidR="0083187B">
        <w:rPr>
          <w:rFonts w:ascii="Arial" w:hAnsi="Arial" w:cs="Arial"/>
          <w:bCs/>
        </w:rPr>
        <w:t>ÚP ČR</w:t>
      </w:r>
      <w:r>
        <w:rPr>
          <w:rFonts w:ascii="Arial" w:hAnsi="Arial" w:cs="Arial"/>
          <w:bCs/>
        </w:rPr>
        <w:t xml:space="preserve"> žádají v současné době především lidé, kteří přicházejí z oblasti maloobchodu a velkoobchodu, veřejné správy, výroby kovových konstrukcí nebo vzdělávání. </w:t>
      </w:r>
      <w:bookmarkStart w:id="5" w:name="_Hlk73525853"/>
    </w:p>
    <w:p w14:paraId="05A3936C" w14:textId="110254DA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 xml:space="preserve">Naopak z evidence odešlo </w:t>
      </w:r>
      <w:r>
        <w:rPr>
          <w:rFonts w:ascii="Arial" w:hAnsi="Arial" w:cs="Arial"/>
        </w:rPr>
        <w:t xml:space="preserve">celkem </w:t>
      </w:r>
      <w:r>
        <w:rPr>
          <w:rFonts w:ascii="Arial" w:hAnsi="Arial" w:cs="Arial"/>
          <w:b/>
          <w:bCs/>
        </w:rPr>
        <w:t xml:space="preserve">40 649 </w:t>
      </w:r>
      <w:r>
        <w:rPr>
          <w:rFonts w:ascii="Arial" w:hAnsi="Arial" w:cs="Arial"/>
        </w:rPr>
        <w:t>uchazečů, tj. o 8 033 osob méně než v předchozím měsíci a o 920 osob méně než v říjnu 2020</w:t>
      </w:r>
      <w:r>
        <w:rPr>
          <w:rFonts w:ascii="Arial" w:hAnsi="Arial" w:cs="Arial"/>
          <w:b/>
          <w:bCs/>
        </w:rPr>
        <w:t>. Novou práci</w:t>
      </w:r>
      <w:r>
        <w:rPr>
          <w:rFonts w:ascii="Arial" w:hAnsi="Arial" w:cs="Arial"/>
          <w:bCs/>
        </w:rPr>
        <w:t xml:space="preserve"> si našlo </w:t>
      </w:r>
      <w:r>
        <w:rPr>
          <w:rFonts w:ascii="Arial" w:hAnsi="Arial" w:cs="Arial"/>
          <w:b/>
        </w:rPr>
        <w:t>27 </w:t>
      </w:r>
      <w:r>
        <w:rPr>
          <w:rFonts w:ascii="Arial" w:hAnsi="Arial" w:cs="Arial"/>
          <w:b/>
          <w:bCs/>
        </w:rPr>
        <w:t>288 lidí</w:t>
      </w:r>
      <w:r>
        <w:rPr>
          <w:rFonts w:ascii="Arial" w:hAnsi="Arial" w:cs="Arial"/>
        </w:rPr>
        <w:t>, n</w:t>
      </w:r>
      <w:bookmarkEnd w:id="5"/>
      <w:r>
        <w:rPr>
          <w:rFonts w:ascii="Arial" w:hAnsi="Arial" w:cs="Arial"/>
          <w:bCs/>
        </w:rPr>
        <w:t xml:space="preserve">ejčastěji jako pomocní pracovníci ve výrobě, </w:t>
      </w:r>
      <w:r w:rsidR="00C2668A">
        <w:rPr>
          <w:rFonts w:ascii="Arial" w:hAnsi="Arial" w:cs="Arial"/>
          <w:bCs/>
        </w:rPr>
        <w:t>pracovníci</w:t>
      </w:r>
      <w:r>
        <w:rPr>
          <w:rFonts w:ascii="Arial" w:hAnsi="Arial" w:cs="Arial"/>
          <w:bCs/>
        </w:rPr>
        <w:t xml:space="preserve"> </w:t>
      </w:r>
      <w:r w:rsidR="00C2668A">
        <w:rPr>
          <w:rFonts w:ascii="Arial" w:hAnsi="Arial" w:cs="Arial"/>
          <w:bCs/>
        </w:rPr>
        <w:t>v</w:t>
      </w:r>
      <w:r w:rsidR="00A45CEF">
        <w:rPr>
          <w:rFonts w:ascii="Arial" w:hAnsi="Arial" w:cs="Arial"/>
          <w:bCs/>
        </w:rPr>
        <w:t> </w:t>
      </w:r>
      <w:r>
        <w:rPr>
          <w:rFonts w:ascii="Arial" w:hAnsi="Arial" w:cs="Arial"/>
          <w:bCs/>
        </w:rPr>
        <w:t>malo</w:t>
      </w:r>
      <w:r w:rsidR="00A45CEF">
        <w:rPr>
          <w:rFonts w:ascii="Arial" w:hAnsi="Arial" w:cs="Arial"/>
          <w:bCs/>
        </w:rPr>
        <w:t xml:space="preserve"> a velkoobchodě</w:t>
      </w:r>
      <w:r>
        <w:rPr>
          <w:rFonts w:ascii="Arial" w:hAnsi="Arial" w:cs="Arial"/>
          <w:bCs/>
        </w:rPr>
        <w:t xml:space="preserve">, administrativní pracovníci, uklízeči a pomocníci v domácnostech, obsluha pojízdných zařízení, kováři a nástrojáři, pomocní pracovníci v dopravě a skladování či číšníci, barmani a servírky. </w:t>
      </w:r>
    </w:p>
    <w:p w14:paraId="6F5B3FAB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1AA66E1F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Podpora v nezaměstnanosti</w:t>
      </w:r>
    </w:p>
    <w:p w14:paraId="7DDB5D6C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5B9AF53" wp14:editId="2F87D3A0">
            <wp:simplePos x="0" y="0"/>
            <wp:positionH relativeFrom="column">
              <wp:posOffset>1070610</wp:posOffset>
            </wp:positionH>
            <wp:positionV relativeFrom="paragraph">
              <wp:posOffset>416560</wp:posOffset>
            </wp:positionV>
            <wp:extent cx="2562225" cy="2047875"/>
            <wp:effectExtent l="0" t="0" r="0" b="0"/>
            <wp:wrapTight wrapText="bothSides">
              <wp:wrapPolygon edited="0">
                <wp:start x="0" y="0"/>
                <wp:lineTo x="0" y="21299"/>
                <wp:lineTo x="21359" y="21299"/>
                <wp:lineTo x="21359" y="0"/>
                <wp:lineTo x="0" y="0"/>
              </wp:wrapPolygon>
            </wp:wrapTight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Podporu v nezaměstnanosti pobíralo v říjnu celkem </w:t>
      </w:r>
      <w:r>
        <w:rPr>
          <w:rFonts w:ascii="Arial" w:hAnsi="Arial" w:cs="Arial"/>
          <w:b/>
        </w:rPr>
        <w:t>72 686</w:t>
      </w:r>
      <w:r>
        <w:rPr>
          <w:rFonts w:ascii="Arial" w:hAnsi="Arial" w:cs="Arial"/>
          <w:bCs/>
        </w:rPr>
        <w:t xml:space="preserve"> osob, což představuje 28,9 % všech uchazečů o zaměstnání. Počet lidí s nárokem na podporu v nezaměstnanosti meziročně klesl o 13 233 osob.</w:t>
      </w:r>
      <w:bookmarkStart w:id="6" w:name="_Hlk73515522"/>
    </w:p>
    <w:p w14:paraId="639BE0FB" w14:textId="77777777" w:rsidR="00CB6797" w:rsidRDefault="00211394">
      <w:pPr>
        <w:spacing w:before="33" w:after="0"/>
        <w:ind w:left="1701" w:right="-2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Uchazeči v průměru pobírali </w:t>
      </w:r>
      <w:r>
        <w:rPr>
          <w:rFonts w:ascii="Arial" w:hAnsi="Arial" w:cs="Arial"/>
          <w:b/>
        </w:rPr>
        <w:t>9 373</w:t>
      </w:r>
      <w:r>
        <w:rPr>
          <w:rFonts w:ascii="Arial" w:hAnsi="Arial" w:cs="Arial"/>
          <w:b/>
          <w:bCs/>
        </w:rPr>
        <w:t xml:space="preserve"> Kč </w:t>
      </w:r>
      <w:r>
        <w:rPr>
          <w:rFonts w:ascii="Arial" w:hAnsi="Arial" w:cs="Arial"/>
        </w:rPr>
        <w:t>měsíčně (říjen 2020 – 8 684 Kč)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Cs/>
        </w:rPr>
        <w:t xml:space="preserve"> Podporu v nezaměstnanosti </w:t>
      </w:r>
      <w:r>
        <w:rPr>
          <w:rFonts w:ascii="Arial" w:hAnsi="Arial" w:cs="Arial"/>
          <w:b/>
        </w:rPr>
        <w:t>do 4 500 Kč</w:t>
      </w:r>
      <w:r>
        <w:rPr>
          <w:rFonts w:ascii="Arial" w:hAnsi="Arial" w:cs="Arial"/>
          <w:bCs/>
        </w:rPr>
        <w:t xml:space="preserve"> dostávalo </w:t>
      </w:r>
      <w:r>
        <w:rPr>
          <w:rFonts w:ascii="Arial" w:hAnsi="Arial" w:cs="Arial"/>
          <w:b/>
        </w:rPr>
        <w:t xml:space="preserve">16 702 </w:t>
      </w:r>
      <w:r>
        <w:rPr>
          <w:rFonts w:ascii="Arial" w:hAnsi="Arial" w:cs="Arial"/>
          <w:bCs/>
        </w:rPr>
        <w:t xml:space="preserve">(23 %) osob. Jedná se zejména o klienty, kteří přišli do evidence ÚP ČR např. po skončení rodičovské dovolené, pečovali o osobu blízkou nebo byli v dočasné pracovní neschopnosti po skončení výdělečné činnosti. </w:t>
      </w:r>
      <w:r>
        <w:rPr>
          <w:rFonts w:ascii="Arial" w:hAnsi="Arial" w:cs="Arial"/>
          <w:b/>
        </w:rPr>
        <w:t xml:space="preserve"> Maximální výši podpory</w:t>
      </w:r>
      <w:r>
        <w:rPr>
          <w:rFonts w:ascii="Arial" w:hAnsi="Arial" w:cs="Arial"/>
          <w:bCs/>
        </w:rPr>
        <w:t xml:space="preserve">, tedy </w:t>
      </w:r>
      <w:r>
        <w:rPr>
          <w:rFonts w:ascii="Arial" w:hAnsi="Arial" w:cs="Arial"/>
          <w:b/>
        </w:rPr>
        <w:t>20 075 Kč</w:t>
      </w:r>
      <w:r>
        <w:rPr>
          <w:rFonts w:ascii="Arial" w:hAnsi="Arial" w:cs="Arial"/>
          <w:bCs/>
        </w:rPr>
        <w:t xml:space="preserve">, pak pobíralo </w:t>
      </w:r>
      <w:r>
        <w:rPr>
          <w:rFonts w:ascii="Arial" w:hAnsi="Arial" w:cs="Arial"/>
          <w:b/>
        </w:rPr>
        <w:t xml:space="preserve">3 592 </w:t>
      </w:r>
      <w:r>
        <w:rPr>
          <w:rFonts w:ascii="Arial" w:hAnsi="Arial" w:cs="Arial"/>
          <w:bCs/>
        </w:rPr>
        <w:t>(4,9 %) uchazečů o zaměstnání.</w:t>
      </w:r>
      <w:bookmarkEnd w:id="6"/>
    </w:p>
    <w:p w14:paraId="6E12FAFC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 říjnu vyplatil Úřad práce ČR podle předběžných údajů v rámci podpor v nezaměstnanosti a při rekvalifikaci celkem </w:t>
      </w:r>
      <w:r>
        <w:rPr>
          <w:rFonts w:ascii="Arial" w:hAnsi="Arial" w:cs="Arial"/>
          <w:b/>
        </w:rPr>
        <w:t>746 505 tis. Kč</w:t>
      </w:r>
      <w:r>
        <w:rPr>
          <w:rFonts w:ascii="Arial" w:hAnsi="Arial" w:cs="Arial"/>
          <w:bCs/>
        </w:rPr>
        <w:t xml:space="preserve"> (září 802 688 tis. Kč, srpen 778 342 tis. Kč).</w:t>
      </w:r>
    </w:p>
    <w:p w14:paraId="693394C6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7ADF5A40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Volná pracovní místa</w:t>
      </w:r>
    </w:p>
    <w:p w14:paraId="65963FC9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Ke konci předchozího měsíce </w:t>
      </w:r>
      <w:r>
        <w:rPr>
          <w:rFonts w:ascii="Arial" w:hAnsi="Arial" w:cs="Arial"/>
          <w:b/>
          <w:bCs/>
        </w:rPr>
        <w:t xml:space="preserve">nabízeli zaměstnavatelé </w:t>
      </w:r>
      <w:r>
        <w:rPr>
          <w:rFonts w:ascii="Arial" w:hAnsi="Arial" w:cs="Arial"/>
        </w:rPr>
        <w:t>prostřednictvím ÚP ČR celkem</w:t>
      </w:r>
      <w:r>
        <w:rPr>
          <w:rFonts w:ascii="Arial" w:hAnsi="Arial" w:cs="Arial"/>
          <w:b/>
          <w:bCs/>
        </w:rPr>
        <w:t xml:space="preserve"> 352 454 volných pracovních míst,</w:t>
      </w:r>
      <w:r>
        <w:rPr>
          <w:rFonts w:ascii="Arial" w:hAnsi="Arial" w:cs="Arial"/>
        </w:rPr>
        <w:t xml:space="preserve"> o 5 457 méně než v září a o 41 724 míst více než před rokem.</w:t>
      </w:r>
      <w:r>
        <w:rPr>
          <w:rFonts w:ascii="Arial" w:hAnsi="Arial" w:cs="Arial"/>
          <w:bCs/>
        </w:rPr>
        <w:t xml:space="preserve"> Na jedno volné pracovní místo připadá v ČR v průměru </w:t>
      </w:r>
      <w:r>
        <w:rPr>
          <w:rFonts w:ascii="Arial" w:hAnsi="Arial" w:cs="Arial"/>
          <w:b/>
        </w:rPr>
        <w:t xml:space="preserve">0,7 </w:t>
      </w:r>
      <w:r>
        <w:rPr>
          <w:rFonts w:ascii="Arial" w:hAnsi="Arial" w:cs="Arial"/>
          <w:bCs/>
        </w:rPr>
        <w:t xml:space="preserve">uchazeče o zaměstnání. U přibližně </w:t>
      </w:r>
      <w:r>
        <w:rPr>
          <w:rFonts w:ascii="Arial" w:hAnsi="Arial" w:cs="Arial"/>
          <w:b/>
          <w:bCs/>
        </w:rPr>
        <w:t>73 % z těchto volných pracovních míst</w:t>
      </w:r>
      <w:r>
        <w:rPr>
          <w:rFonts w:ascii="Arial" w:hAnsi="Arial" w:cs="Arial"/>
          <w:bCs/>
        </w:rPr>
        <w:t xml:space="preserve"> zaměstnavatelé poptávají uchazeče se základním či nižším vzděláním, </w:t>
      </w:r>
      <w:r>
        <w:rPr>
          <w:rFonts w:ascii="Arial" w:hAnsi="Arial" w:cs="Arial"/>
          <w:b/>
        </w:rPr>
        <w:t>73 %</w:t>
      </w:r>
      <w:r>
        <w:rPr>
          <w:rFonts w:ascii="Arial" w:hAnsi="Arial" w:cs="Arial"/>
          <w:bCs/>
        </w:rPr>
        <w:t xml:space="preserve"> pak tvoří volná místa vhodná i pro cizince</w:t>
      </w:r>
      <w:bookmarkStart w:id="7" w:name="_Hlk73515656"/>
      <w:r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/>
          <w:bCs/>
        </w:rPr>
        <w:t>Zaměstnavatelé mají zájem</w:t>
      </w:r>
      <w:r>
        <w:rPr>
          <w:rFonts w:ascii="Arial" w:hAnsi="Arial" w:cs="Arial"/>
          <w:bCs/>
        </w:rPr>
        <w:t xml:space="preserve"> o dělníky </w:t>
      </w:r>
      <w:r>
        <w:rPr>
          <w:rFonts w:ascii="Arial" w:hAnsi="Arial" w:cs="Arial"/>
          <w:bCs/>
        </w:rPr>
        <w:lastRenderedPageBreak/>
        <w:t>výstavby budov, obsluhu vysokozdvižných vozíků, montážní dělníky, pomocníky ve výrobě nebo uklízeče a řidiče nákladních automobilů.</w:t>
      </w:r>
      <w:bookmarkEnd w:id="7"/>
      <w:r>
        <w:rPr>
          <w:rFonts w:ascii="Arial" w:hAnsi="Arial" w:cs="Arial"/>
          <w:bCs/>
        </w:rPr>
        <w:t xml:space="preserve"> Nejvyšší poptávka po nových zaměstnancích je v Praze (96 137 míst) a ve Středočeském kraji (65 170 míst). </w:t>
      </w:r>
    </w:p>
    <w:p w14:paraId="5019E9A5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 předchozím měsíci nahlásili zaměstnavatelé </w:t>
      </w:r>
      <w:r>
        <w:rPr>
          <w:rFonts w:ascii="Arial" w:hAnsi="Arial" w:cs="Arial"/>
          <w:b/>
        </w:rPr>
        <w:t>42 094</w:t>
      </w:r>
      <w:r>
        <w:rPr>
          <w:rFonts w:ascii="Arial" w:hAnsi="Arial" w:cs="Arial"/>
          <w:b/>
          <w:bCs/>
        </w:rPr>
        <w:t xml:space="preserve"> nových volných pracovních míst</w:t>
      </w:r>
      <w:r>
        <w:rPr>
          <w:rFonts w:ascii="Arial" w:hAnsi="Arial" w:cs="Arial"/>
          <w:bCs/>
        </w:rPr>
        <w:t xml:space="preserve">, což je o 8 318 více než loni. Odchodem zaměstnanců se uvolnilo 2 566 míst. </w:t>
      </w:r>
      <w:r>
        <w:rPr>
          <w:rFonts w:ascii="Arial" w:hAnsi="Arial" w:cs="Arial"/>
          <w:b/>
        </w:rPr>
        <w:t>ÚP ČR naopak obsadil</w:t>
      </w:r>
      <w:r>
        <w:rPr>
          <w:rFonts w:ascii="Arial" w:hAnsi="Arial" w:cs="Arial"/>
          <w:bCs/>
        </w:rPr>
        <w:t xml:space="preserve"> a následně z evidence </w:t>
      </w:r>
      <w:r>
        <w:rPr>
          <w:rFonts w:ascii="Arial" w:hAnsi="Arial" w:cs="Arial"/>
          <w:b/>
        </w:rPr>
        <w:t>vyřadil 50 117</w:t>
      </w:r>
      <w:r>
        <w:rPr>
          <w:rFonts w:ascii="Arial" w:hAnsi="Arial" w:cs="Arial"/>
          <w:bCs/>
        </w:rPr>
        <w:t xml:space="preserve"> volných pracovních míst. </w:t>
      </w:r>
    </w:p>
    <w:p w14:paraId="0D2540CD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Cs/>
          <w:color w:val="FF0000"/>
        </w:rPr>
      </w:pPr>
      <w:bookmarkStart w:id="8" w:name="_Hlk81399451"/>
    </w:p>
    <w:p w14:paraId="6933B47D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Úřad práce ČR aktivní v politice zaměstnanosti</w:t>
      </w:r>
    </w:p>
    <w:p w14:paraId="7FA00C34" w14:textId="65B1F3D7" w:rsidR="00CB6797" w:rsidRDefault="0083187B">
      <w:pPr>
        <w:spacing w:before="33" w:after="0"/>
        <w:ind w:left="1701" w:right="-23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8CE7E1D" wp14:editId="09DE141F">
            <wp:simplePos x="0" y="0"/>
            <wp:positionH relativeFrom="margin">
              <wp:posOffset>2833370</wp:posOffset>
            </wp:positionH>
            <wp:positionV relativeFrom="paragraph">
              <wp:posOffset>384175</wp:posOffset>
            </wp:positionV>
            <wp:extent cx="320992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08" y="21415"/>
                <wp:lineTo x="21408" y="0"/>
                <wp:lineTo x="0" y="0"/>
              </wp:wrapPolygon>
            </wp:wrapTight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394">
        <w:rPr>
          <w:rFonts w:ascii="Arial" w:hAnsi="Arial" w:cs="Arial"/>
          <w:bCs/>
        </w:rPr>
        <w:t xml:space="preserve">            Úřad práce ČR věnuje </w:t>
      </w:r>
      <w:r w:rsidR="00211394">
        <w:rPr>
          <w:rFonts w:ascii="Arial" w:hAnsi="Arial" w:cs="Arial"/>
          <w:b/>
          <w:bCs/>
        </w:rPr>
        <w:t>všem skupinám ohroženým dlouhodobou nezaměstnaností zvýšenou péči</w:t>
      </w:r>
      <w:r w:rsidR="00211394">
        <w:rPr>
          <w:rFonts w:ascii="Arial" w:hAnsi="Arial" w:cs="Arial"/>
          <w:bCs/>
        </w:rPr>
        <w:t xml:space="preserve">. Prostřednictvím příspěvků v rámci Aktivní politiky zaměstnanosti (APZ) podpořil v říjnu celkem </w:t>
      </w:r>
      <w:r w:rsidR="00211394">
        <w:rPr>
          <w:rFonts w:ascii="Arial" w:hAnsi="Arial" w:cs="Arial"/>
          <w:b/>
          <w:bCs/>
        </w:rPr>
        <w:t xml:space="preserve">16 130 </w:t>
      </w:r>
      <w:r w:rsidR="00211394">
        <w:rPr>
          <w:rFonts w:ascii="Arial" w:hAnsi="Arial" w:cs="Arial"/>
          <w:bCs/>
        </w:rPr>
        <w:t xml:space="preserve">uchazečů a zájemců o zaměstnání. Tak například - na </w:t>
      </w:r>
      <w:r w:rsidR="00211394">
        <w:rPr>
          <w:rFonts w:ascii="Arial" w:hAnsi="Arial" w:cs="Arial"/>
          <w:b/>
        </w:rPr>
        <w:t>veřejně prospěšné práce</w:t>
      </w:r>
      <w:r w:rsidR="00211394">
        <w:rPr>
          <w:rFonts w:ascii="Arial" w:hAnsi="Arial" w:cs="Arial"/>
          <w:bCs/>
        </w:rPr>
        <w:t xml:space="preserve"> umístil </w:t>
      </w:r>
      <w:r w:rsidR="00211394">
        <w:rPr>
          <w:rFonts w:ascii="Arial" w:hAnsi="Arial" w:cs="Arial"/>
          <w:b/>
          <w:bCs/>
        </w:rPr>
        <w:t xml:space="preserve">7 562 </w:t>
      </w:r>
      <w:r w:rsidR="00211394">
        <w:rPr>
          <w:rFonts w:ascii="Arial" w:hAnsi="Arial" w:cs="Arial"/>
          <w:bCs/>
        </w:rPr>
        <w:t xml:space="preserve">osob. Zaměstnání získalo také </w:t>
      </w:r>
      <w:r w:rsidR="00211394">
        <w:rPr>
          <w:rFonts w:ascii="Arial" w:hAnsi="Arial" w:cs="Arial"/>
          <w:b/>
          <w:bCs/>
        </w:rPr>
        <w:t xml:space="preserve">4 774 </w:t>
      </w:r>
      <w:r w:rsidR="00211394">
        <w:rPr>
          <w:rFonts w:ascii="Arial" w:hAnsi="Arial" w:cs="Arial"/>
          <w:bCs/>
        </w:rPr>
        <w:t xml:space="preserve">nezaměstnaných díky </w:t>
      </w:r>
      <w:r w:rsidR="00211394">
        <w:rPr>
          <w:rFonts w:ascii="Arial" w:hAnsi="Arial" w:cs="Arial"/>
          <w:b/>
        </w:rPr>
        <w:t>vyhrazeným společensky účelným pracovním místům</w:t>
      </w:r>
      <w:r w:rsidR="00211394">
        <w:rPr>
          <w:rFonts w:ascii="Arial" w:hAnsi="Arial" w:cs="Arial"/>
          <w:bCs/>
        </w:rPr>
        <w:t xml:space="preserve"> (SÚPM). Pro </w:t>
      </w:r>
      <w:r w:rsidR="00211394">
        <w:rPr>
          <w:rFonts w:ascii="Arial" w:hAnsi="Arial" w:cs="Arial"/>
          <w:b/>
        </w:rPr>
        <w:t>10</w:t>
      </w:r>
      <w:r w:rsidR="00211394">
        <w:rPr>
          <w:rFonts w:ascii="Arial" w:hAnsi="Arial" w:cs="Arial"/>
          <w:bCs/>
        </w:rPr>
        <w:t xml:space="preserve"> osob zřídili zaměstnavatelé zcela nová SÚPM (jde o místa, v jejichž rámci ÚP ČR přispívá na jejich vybavení). Dalších </w:t>
      </w:r>
      <w:r w:rsidR="00211394">
        <w:rPr>
          <w:rFonts w:ascii="Arial" w:hAnsi="Arial" w:cs="Arial"/>
          <w:b/>
        </w:rPr>
        <w:t>550</w:t>
      </w:r>
      <w:r w:rsidR="00211394">
        <w:rPr>
          <w:rFonts w:ascii="Arial" w:hAnsi="Arial" w:cs="Arial"/>
          <w:bCs/>
        </w:rPr>
        <w:t xml:space="preserve"> nezaměstnaných zahájilo v rámci SÚPM soukromé podnikání.</w:t>
      </w:r>
    </w:p>
    <w:p w14:paraId="3A011D34" w14:textId="718A6783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Důležitým nástrojem APZ jsou </w:t>
      </w:r>
      <w:r>
        <w:rPr>
          <w:rFonts w:ascii="Arial" w:hAnsi="Arial" w:cs="Arial"/>
          <w:b/>
        </w:rPr>
        <w:t>rekvalifikace</w:t>
      </w:r>
      <w:r>
        <w:rPr>
          <w:rFonts w:ascii="Arial" w:hAnsi="Arial" w:cs="Arial"/>
          <w:bCs/>
        </w:rPr>
        <w:t xml:space="preserve">, kterými Úřad práce ČR finančně podporuje nejen uchazeče, ale také zájemce o zaměstnání. K 31. 10. 2021 se jich účastnilo </w:t>
      </w:r>
      <w:r>
        <w:rPr>
          <w:rFonts w:ascii="Arial" w:hAnsi="Arial" w:cs="Arial"/>
          <w:b/>
        </w:rPr>
        <w:t>1 517</w:t>
      </w:r>
      <w:r>
        <w:rPr>
          <w:rFonts w:ascii="Arial" w:hAnsi="Arial" w:cs="Arial"/>
          <w:bCs/>
        </w:rPr>
        <w:t xml:space="preserve"> uchazečů nebo zájemců o zaměstnání. Celkem od začátku letošního roku na rekvalifikace nastoupilo </w:t>
      </w:r>
      <w:r>
        <w:rPr>
          <w:rFonts w:ascii="Arial" w:hAnsi="Arial" w:cs="Arial"/>
          <w:b/>
        </w:rPr>
        <w:t xml:space="preserve">8 815 </w:t>
      </w:r>
      <w:r>
        <w:rPr>
          <w:rFonts w:ascii="Arial" w:hAnsi="Arial" w:cs="Arial"/>
          <w:bCs/>
        </w:rPr>
        <w:t xml:space="preserve">uchazečů a zájemců o zaměstnání. </w:t>
      </w:r>
      <w:r>
        <w:rPr>
          <w:rFonts w:ascii="Arial" w:hAnsi="Arial" w:cs="Arial"/>
          <w:b/>
        </w:rPr>
        <w:t>Nejčastěji realizovanou rekvalifikací</w:t>
      </w:r>
      <w:r>
        <w:rPr>
          <w:rFonts w:ascii="Arial" w:hAnsi="Arial" w:cs="Arial"/>
          <w:bCs/>
        </w:rPr>
        <w:t xml:space="preserve"> jsou kurzy zaměřené na získání řidičských průkazů, vč. profesní způsobilosti, kurzy pro pracovníky v sociální oblasti a kurzy orientované na osobní služby. Pro změnu oboru nebo další prohloubení znalostí se většinou rozhodují lidé s výučním listem, úplným středním vzděláním s maturitou a základním vzděláním. Z hlediska věku pak převažují účastníci nad 50 let.</w:t>
      </w:r>
    </w:p>
    <w:p w14:paraId="57CA2689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Zvýšenou péči věnuje ÚP ČR též </w:t>
      </w:r>
      <w:r>
        <w:rPr>
          <w:rFonts w:ascii="Arial" w:hAnsi="Arial" w:cs="Arial"/>
          <w:b/>
          <w:bCs/>
        </w:rPr>
        <w:t xml:space="preserve">osobám se zdravotním postižením </w:t>
      </w:r>
      <w:r>
        <w:rPr>
          <w:rFonts w:ascii="Arial" w:hAnsi="Arial" w:cs="Arial"/>
        </w:rPr>
        <w:t>(OZP).</w:t>
      </w:r>
      <w:r>
        <w:rPr>
          <w:rFonts w:ascii="Arial" w:hAnsi="Arial" w:cs="Arial"/>
          <w:bCs/>
        </w:rPr>
        <w:t xml:space="preserve"> I v jejich případě poskytuje příspěvky na podporu pracovního uplatnění. Ke konci října touto cestou podpořil </w:t>
      </w:r>
      <w:r>
        <w:rPr>
          <w:rFonts w:ascii="Arial" w:hAnsi="Arial" w:cs="Arial"/>
          <w:b/>
          <w:bCs/>
        </w:rPr>
        <w:t xml:space="preserve">478 </w:t>
      </w:r>
      <w:r>
        <w:rPr>
          <w:rFonts w:ascii="Arial" w:hAnsi="Arial" w:cs="Arial"/>
          <w:bCs/>
        </w:rPr>
        <w:t>OZP.</w:t>
      </w:r>
    </w:p>
    <w:bookmarkEnd w:id="8"/>
    <w:p w14:paraId="01353D06" w14:textId="5EC34A4D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 návratu na pracovní trh výrazně pomáhá i </w:t>
      </w:r>
      <w:r>
        <w:rPr>
          <w:rFonts w:ascii="Arial" w:hAnsi="Arial" w:cs="Arial"/>
          <w:b/>
          <w:bCs/>
        </w:rPr>
        <w:t>příspěvek na dojížďku.</w:t>
      </w:r>
      <w:r>
        <w:rPr>
          <w:rFonts w:ascii="Arial" w:hAnsi="Arial" w:cs="Arial"/>
          <w:bCs/>
        </w:rPr>
        <w:t xml:space="preserve"> Se </w:t>
      </w:r>
      <w:r>
        <w:rPr>
          <w:rFonts w:ascii="Arial" w:hAnsi="Arial" w:cs="Arial"/>
          <w:b/>
          <w:bCs/>
        </w:rPr>
        <w:t xml:space="preserve">7 683 </w:t>
      </w:r>
      <w:r>
        <w:rPr>
          <w:rFonts w:ascii="Arial" w:hAnsi="Arial" w:cs="Arial"/>
          <w:bCs/>
        </w:rPr>
        <w:t>žadateli už Úřad práce ČR</w:t>
      </w:r>
      <w:r>
        <w:rPr>
          <w:rFonts w:ascii="Arial" w:hAnsi="Arial" w:cs="Arial"/>
          <w:b/>
          <w:bCs/>
        </w:rPr>
        <w:t xml:space="preserve"> uzavřel dohodu o </w:t>
      </w:r>
      <w:r>
        <w:rPr>
          <w:rFonts w:ascii="Arial" w:hAnsi="Arial" w:cs="Arial"/>
        </w:rPr>
        <w:t>jeho</w:t>
      </w:r>
      <w:r>
        <w:rPr>
          <w:rFonts w:ascii="Arial" w:hAnsi="Arial" w:cs="Arial"/>
          <w:b/>
          <w:bCs/>
        </w:rPr>
        <w:t xml:space="preserve"> poskytnutí</w:t>
      </w:r>
      <w:r>
        <w:rPr>
          <w:rFonts w:ascii="Arial" w:hAnsi="Arial" w:cs="Arial"/>
          <w:bCs/>
        </w:rPr>
        <w:t xml:space="preserve">. Nejvíce takto podpořených osob je v Moravskoslezském (1 705), Olomouckém (1 647) a Ústeckém kraji (975), kterým ÚP ČR přiznal měsíční částku většinou ve výši 1 500 a 2 500 Kč, protože nejčastěji dojíždí do práce 10–25 a 25–50 km. Jsou mezi nimi lidé různých profesí, např. výrobní a montážní dělníci, kovodělníci, elektrikáři, pracovníci ve zdravotnictví nebo v sociálních službách, ale také asistent soudce, učitelé, </w:t>
      </w:r>
      <w:r w:rsidR="000862ED">
        <w:rPr>
          <w:rFonts w:ascii="Arial" w:hAnsi="Arial" w:cs="Arial"/>
          <w:bCs/>
        </w:rPr>
        <w:t xml:space="preserve">redaktorka, </w:t>
      </w:r>
      <w:r>
        <w:rPr>
          <w:rFonts w:ascii="Arial" w:hAnsi="Arial" w:cs="Arial"/>
          <w:bCs/>
        </w:rPr>
        <w:t>servírky a administrativní pracovníci.</w:t>
      </w:r>
    </w:p>
    <w:p w14:paraId="7272CE31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Zájem je i o výkon </w:t>
      </w:r>
      <w:r>
        <w:rPr>
          <w:rFonts w:ascii="Arial" w:hAnsi="Arial" w:cs="Arial"/>
          <w:b/>
          <w:bCs/>
        </w:rPr>
        <w:t>veřejné služby</w:t>
      </w:r>
      <w:r>
        <w:rPr>
          <w:rFonts w:ascii="Arial" w:hAnsi="Arial" w:cs="Arial"/>
          <w:bCs/>
        </w:rPr>
        <w:t xml:space="preserve"> (VS). Celkem má ÚP ČR s jejími organizátory, především obcemi, nestátními neziskovými organizacemi, základními a mateřskými školami nebo například knihovnami, nasmlouvaných </w:t>
      </w:r>
      <w:r>
        <w:rPr>
          <w:rFonts w:ascii="Arial" w:hAnsi="Arial" w:cs="Arial"/>
          <w:b/>
          <w:bCs/>
        </w:rPr>
        <w:t>4 534</w:t>
      </w:r>
      <w:r>
        <w:rPr>
          <w:rFonts w:ascii="Arial" w:hAnsi="Arial" w:cs="Arial"/>
          <w:bCs/>
        </w:rPr>
        <w:t xml:space="preserve"> pozic. Nejvíce pak v Ústeckém (1 611) a v Moravskoslezském (1 046) kraji. A nejedná se jen o činnosti při zajištění čistoty ulic a dalších veřejných prostranství a zeleně, ale i o aktivity, které lidé vykonávají během veřejnosti přístupných sportovních, kulturních a obdobných akcí a v neposlední řadě během pomocných činností při poskytování sociální péče (např. při ambulantní a terénní sociální službě) apod. Na veřejnou službu nastoupilo </w:t>
      </w:r>
      <w:r>
        <w:rPr>
          <w:rFonts w:ascii="Arial" w:hAnsi="Arial" w:cs="Arial"/>
          <w:b/>
          <w:bCs/>
        </w:rPr>
        <w:t xml:space="preserve">2 114 </w:t>
      </w:r>
      <w:r>
        <w:rPr>
          <w:rFonts w:ascii="Arial" w:hAnsi="Arial" w:cs="Arial"/>
          <w:bCs/>
        </w:rPr>
        <w:t xml:space="preserve">klientů. </w:t>
      </w:r>
    </w:p>
    <w:p w14:paraId="395D24CA" w14:textId="77777777" w:rsidR="00CB6797" w:rsidRDefault="00211394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Informace o vývoji nezaměstnanosti jsou zveřejněny na </w:t>
      </w:r>
      <w:hyperlink r:id="rId16" w:history="1">
        <w:r>
          <w:rPr>
            <w:rStyle w:val="Hypertextovodkaz"/>
            <w:rFonts w:ascii="Arial" w:hAnsi="Arial" w:cs="Arial"/>
            <w:bCs/>
          </w:rPr>
          <w:t>https://www.mpsv.cz/web/cz/mesicni</w:t>
        </w:r>
      </w:hyperlink>
      <w:r>
        <w:rPr>
          <w:rFonts w:ascii="Arial" w:hAnsi="Arial" w:cs="Arial"/>
          <w:bCs/>
        </w:rPr>
        <w:t xml:space="preserve">.                                              </w:t>
      </w:r>
    </w:p>
    <w:p w14:paraId="4559297B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08993432" w14:textId="77777777" w:rsidR="00CB6797" w:rsidRDefault="00CB6797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787413D7" w14:textId="77777777" w:rsidR="00CB6797" w:rsidRDefault="00CB6797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82A095B" w14:textId="77777777" w:rsidR="00CB6797" w:rsidRDefault="00CB6797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FB5B16A" w14:textId="77777777" w:rsidR="00CB6797" w:rsidRDefault="00CB6797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86402AE" w14:textId="77777777" w:rsidR="00CB6797" w:rsidRDefault="00CB6797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4FC79883" w14:textId="77777777" w:rsidR="00CB6797" w:rsidRDefault="00CB6797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3732C87C" w14:textId="77777777" w:rsidR="00CB6797" w:rsidRDefault="00211394">
      <w:pPr>
        <w:spacing w:before="33" w:after="0"/>
        <w:ind w:right="-23"/>
        <w:jc w:val="right"/>
      </w:pPr>
      <w:r>
        <w:rPr>
          <w:rFonts w:ascii="Arial" w:hAnsi="Arial" w:cs="Arial"/>
          <w:lang w:eastAsia="cs-CZ"/>
        </w:rPr>
        <w:t>Kateřina Beránková, tisková mluvčí ÚP ČR</w:t>
      </w:r>
    </w:p>
    <w:sectPr w:rsidR="00CB6797">
      <w:headerReference w:type="default" r:id="rId17"/>
      <w:footerReference w:type="default" r:id="rId18"/>
      <w:pgSz w:w="11906" w:h="16838"/>
      <w:pgMar w:top="4253" w:right="707" w:bottom="1418" w:left="1418" w:header="70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0D203" w14:textId="77777777" w:rsidR="0056678E" w:rsidRDefault="0056678E">
      <w:pPr>
        <w:spacing w:after="0" w:line="240" w:lineRule="auto"/>
      </w:pPr>
      <w:r>
        <w:separator/>
      </w:r>
    </w:p>
  </w:endnote>
  <w:endnote w:type="continuationSeparator" w:id="0">
    <w:p w14:paraId="05D38609" w14:textId="77777777" w:rsidR="0056678E" w:rsidRDefault="0056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DD79" w14:textId="77777777" w:rsidR="00CB6797" w:rsidRDefault="00CB6797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8"/>
        <w:szCs w:val="18"/>
        <w:lang w:eastAsia="cs-CZ"/>
      </w:rPr>
    </w:pPr>
  </w:p>
  <w:p w14:paraId="1F582960" w14:textId="77777777" w:rsidR="00CB6797" w:rsidRDefault="00211394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8"/>
        <w:szCs w:val="18"/>
        <w:lang w:eastAsia="cs-CZ"/>
      </w:rPr>
    </w:pPr>
    <w:r>
      <w:rPr>
        <w:rFonts w:ascii="Arial" w:hAnsi="Arial" w:cs="Arial"/>
        <w:color w:val="58595B"/>
        <w:sz w:val="18"/>
        <w:szCs w:val="18"/>
        <w:lang w:eastAsia="cs-CZ"/>
      </w:rPr>
      <w:t>Úřad práce ČR | Mgr. Kateřina Beránková, tisková mluvčí | +420 724 209 037</w:t>
    </w:r>
  </w:p>
  <w:p w14:paraId="1438071E" w14:textId="77777777" w:rsidR="00CB6797" w:rsidRDefault="00211394">
    <w:pPr>
      <w:pStyle w:val="Zkladntext"/>
      <w:autoSpaceDE w:val="0"/>
      <w:spacing w:after="0" w:line="240" w:lineRule="auto"/>
      <w:ind w:left="1701"/>
    </w:pPr>
    <w:r>
      <w:rPr>
        <w:rFonts w:ascii="Arial" w:hAnsi="Arial"/>
        <w:color w:val="58595B"/>
        <w:sz w:val="18"/>
      </w:rPr>
      <w:t>katerina.berankova@uradprace.cz |</w:t>
    </w:r>
    <w:r>
      <w:rPr>
        <w:rFonts w:ascii="Arial" w:hAnsi="Arial"/>
        <w:color w:val="333333"/>
        <w:sz w:val="18"/>
      </w:rPr>
      <w:t xml:space="preserve"> </w:t>
    </w:r>
    <w:r>
      <w:rPr>
        <w:rFonts w:ascii="Arial" w:hAnsi="Arial"/>
        <w:color w:val="1C52FF"/>
        <w:sz w:val="18"/>
      </w:rPr>
      <w:t>www.uradprace.cz</w:t>
    </w:r>
    <w:r>
      <w:t xml:space="preserve"> </w:t>
    </w:r>
  </w:p>
  <w:p w14:paraId="4475C910" w14:textId="77777777" w:rsidR="00CB6797" w:rsidRDefault="0083187B">
    <w:pPr>
      <w:pStyle w:val="Zkladntext"/>
      <w:spacing w:line="276" w:lineRule="auto"/>
      <w:ind w:left="1701"/>
    </w:pPr>
    <w:r>
      <w:pict w14:anchorId="7087EC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i1025" type="#_x0000_t75" style="width:12pt;height:12pt;visibility:visible;mso-wrap-style:square">
          <v:imagedata r:id="rId1" o:title=""/>
        </v:shape>
      </w:pict>
    </w:r>
    <w:r w:rsidR="00211394">
      <w:rPr>
        <w:rFonts w:ascii="Arial" w:eastAsia="Arial" w:hAnsi="Arial" w:cs="Arial"/>
        <w:noProof/>
        <w:color w:val="58595B"/>
        <w:sz w:val="16"/>
        <w:szCs w:val="16"/>
        <w:lang w:eastAsia="cs-CZ"/>
      </w:rPr>
      <w:t xml:space="preserve">  </w:t>
    </w:r>
    <w:r w:rsidR="00211394">
      <w:rPr>
        <w:rFonts w:ascii="Arial" w:hAnsi="Arial"/>
        <w:color w:val="58595B"/>
        <w:sz w:val="18"/>
      </w:rPr>
      <w:t xml:space="preserve">facebook.com/uradprace.cr | </w:t>
    </w:r>
    <w:r w:rsidR="00211394">
      <w:t xml:space="preserve"> </w:t>
    </w:r>
    <w:r w:rsidR="00211394">
      <w:rPr>
        <w:noProof/>
      </w:rPr>
      <w:drawing>
        <wp:inline distT="0" distB="0" distL="0" distR="0" wp14:anchorId="2990C661" wp14:editId="32173CFF">
          <wp:extent cx="179649" cy="106680"/>
          <wp:effectExtent l="0" t="0" r="0" b="762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56" cy="110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394">
      <w:rPr>
        <w:color w:val="595959" w:themeColor="text1" w:themeTint="A6"/>
      </w:rPr>
      <w:t>instagram.com/uradprace.cr</w:t>
    </w:r>
  </w:p>
  <w:p w14:paraId="75AF495E" w14:textId="77777777" w:rsidR="00CB6797" w:rsidRDefault="00CB6797">
    <w:pPr>
      <w:pStyle w:val="Zkladntext"/>
      <w:spacing w:line="276" w:lineRule="auto"/>
      <w:ind w:left="1701"/>
    </w:pPr>
  </w:p>
  <w:p w14:paraId="609EA431" w14:textId="77777777" w:rsidR="00CB6797" w:rsidRDefault="00CB6797">
    <w:pPr>
      <w:pStyle w:val="Zpat"/>
      <w:ind w:left="1701"/>
      <w:rPr>
        <w:rFonts w:ascii="Arial" w:eastAsia="Arial" w:hAnsi="Arial" w:cs="Arial"/>
        <w:color w:val="58595B"/>
        <w:sz w:val="18"/>
        <w:szCs w:val="18"/>
      </w:rPr>
    </w:pPr>
  </w:p>
  <w:p w14:paraId="410DCE2F" w14:textId="77777777" w:rsidR="00CB6797" w:rsidRDefault="00CB6797">
    <w:pPr>
      <w:pStyle w:val="Zpat"/>
      <w:ind w:left="1701"/>
    </w:pPr>
  </w:p>
  <w:p w14:paraId="49ABA782" w14:textId="77777777" w:rsidR="00CB6797" w:rsidRDefault="00CB6797">
    <w:pPr>
      <w:pStyle w:val="Zpa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DE7C6" w14:textId="77777777" w:rsidR="0056678E" w:rsidRDefault="0056678E">
      <w:pPr>
        <w:spacing w:after="0" w:line="240" w:lineRule="auto"/>
      </w:pPr>
      <w:r>
        <w:separator/>
      </w:r>
    </w:p>
  </w:footnote>
  <w:footnote w:type="continuationSeparator" w:id="0">
    <w:p w14:paraId="1896C1A4" w14:textId="77777777" w:rsidR="0056678E" w:rsidRDefault="0056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A8BDD" w14:textId="77777777" w:rsidR="00CB6797" w:rsidRDefault="00211394">
    <w:pPr>
      <w:pStyle w:val="Zhlav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21378DA8" wp14:editId="6B42293D">
              <wp:extent cx="6109335" cy="1223645"/>
              <wp:effectExtent l="0" t="9525" r="5715" b="5080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9335" cy="12236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5B5B5" w14:textId="77777777" w:rsidR="00CB6797" w:rsidRDefault="00211394">
                          <w:pPr>
                            <w:spacing w:after="0" w:line="360" w:lineRule="auto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E3092"/>
                              <w:sz w:val="55"/>
                              <w:szCs w:val="55"/>
                            </w:rPr>
                            <w:t>TISKOVÁ ZPRÁVA</w:t>
                          </w:r>
                        </w:p>
                        <w:p w14:paraId="4E989C3F" w14:textId="77777777" w:rsidR="00CB6797" w:rsidRDefault="00CB6797">
                          <w:pPr>
                            <w:rPr>
                              <w:b/>
                              <w:color w:val="2E3092"/>
                              <w:sz w:val="55"/>
                              <w:szCs w:val="55"/>
                            </w:rPr>
                          </w:pP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72AD0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width:481.05pt;height:9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" stroked="f">
              <v:fill opacity="0"/>
              <v:textbox inset="7.25pt,3.65pt,7.25pt,3.65pt">
                <w:txbxContent>
                  <w:p w14:paraId="08A0CE93" w14:textId="77777777" w:rsidR="003A020B" w:rsidRDefault="0058716A">
                    <w:pPr>
                      <w:spacing w:after="0" w:line="360" w:lineRule="auto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E3092"/>
                        <w:sz w:val="55"/>
                        <w:szCs w:val="55"/>
                      </w:rPr>
                      <w:t>TISKOVÁ ZPRÁVA</w:t>
                    </w:r>
                  </w:p>
                  <w:p w14:paraId="1C21A590" w14:textId="77777777" w:rsidR="003A020B" w:rsidRDefault="003A020B">
                    <w:pPr>
                      <w:rPr>
                        <w:b/>
                        <w:color w:val="2E3092"/>
                        <w:sz w:val="55"/>
                        <w:szCs w:val="55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" behindDoc="0" locked="0" layoutInCell="1" allowOverlap="1" wp14:anchorId="643506BD" wp14:editId="61506AFB">
              <wp:simplePos x="0" y="0"/>
              <wp:positionH relativeFrom="margin">
                <wp:posOffset>-110490</wp:posOffset>
              </wp:positionH>
              <wp:positionV relativeFrom="margin">
                <wp:posOffset>-1720850</wp:posOffset>
              </wp:positionV>
              <wp:extent cx="766445" cy="741045"/>
              <wp:effectExtent l="3810" t="3175" r="1270" b="825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741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3C081" w14:textId="77777777" w:rsidR="00CB6797" w:rsidRDefault="00211394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568D1E5" wp14:editId="5149345A">
                                <wp:extent cx="704850" cy="704850"/>
                                <wp:effectExtent l="0" t="0" r="0" b="0"/>
                                <wp:docPr id="48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6" t="-6" r="-6" b="-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7ECF3B" id="_x0000_s1030" type="#_x0000_t202" style="position:absolute;margin-left:-8.7pt;margin-top:-135.5pt;width:60.35pt;height:58.35pt;z-index: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" stroked="f">
              <v:fill opacity="0"/>
              <v:textbox inset=".05pt,.05pt,.05pt,.05pt">
                <w:txbxContent>
                  <w:p w14:paraId="14EE945C" w14:textId="77777777" w:rsidR="003A020B" w:rsidRDefault="0058716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2C57A21" wp14:editId="7CEB1DD3">
                          <wp:extent cx="704850" cy="704850"/>
                          <wp:effectExtent l="0" t="0" r="0" b="0"/>
                          <wp:docPr id="48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6" t="-6" r="-6" b="-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3" behindDoc="0" locked="0" layoutInCell="1" allowOverlap="1" wp14:anchorId="652515B8" wp14:editId="5ABF1B52">
              <wp:simplePos x="0" y="0"/>
              <wp:positionH relativeFrom="margin">
                <wp:posOffset>-513080</wp:posOffset>
              </wp:positionH>
              <wp:positionV relativeFrom="margin">
                <wp:posOffset>-979170</wp:posOffset>
              </wp:positionV>
              <wp:extent cx="1536065" cy="309245"/>
              <wp:effectExtent l="1270" t="1905" r="571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3092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3145A" w14:textId="77777777" w:rsidR="00CB6797" w:rsidRDefault="00211394">
                          <w:pPr>
                            <w:spacing w:after="0" w:line="361" w:lineRule="exac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Úřad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práce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ČR</w:t>
                          </w:r>
                        </w:p>
                        <w:p w14:paraId="2B507A9E" w14:textId="77777777" w:rsidR="00CB6797" w:rsidRDefault="00CB6797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328AAD" id="_x0000_s1031" type="#_x0000_t202" style="position:absolute;margin-left:-40.4pt;margin-top:-77.1pt;width:120.95pt;height:24.35pt;z-index:3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" stroked="f">
              <v:fill opacity="0"/>
              <v:textbox inset=".05pt,.05pt,.05pt,.05pt">
                <w:txbxContent>
                  <w:p w14:paraId="630E4F3B" w14:textId="77777777" w:rsidR="003A020B" w:rsidRDefault="0058716A">
                    <w:pPr>
                      <w:spacing w:after="0" w:line="361" w:lineRule="exac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Úřad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práce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ČR</w:t>
                    </w:r>
                  </w:p>
                  <w:p w14:paraId="3702737C" w14:textId="77777777" w:rsidR="003A020B" w:rsidRDefault="003A020B">
                    <w:pPr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797"/>
    <w:rsid w:val="000862ED"/>
    <w:rsid w:val="00211394"/>
    <w:rsid w:val="0056678E"/>
    <w:rsid w:val="0083187B"/>
    <w:rsid w:val="008612D3"/>
    <w:rsid w:val="00A45CEF"/>
    <w:rsid w:val="00C2668A"/>
    <w:rsid w:val="00CB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AF346B"/>
  <w15:docId w15:val="{A3DB10E5-9A2F-4899-B29E-92A7280E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Calibri" w:eastAsia="Calibri" w:hAnsi="Calibri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Calibri" w:eastAsia="Calibri" w:hAnsi="Calibri"/>
      <w:b/>
      <w:bCs/>
      <w:lang w:eastAsia="zh-CN"/>
    </w:rPr>
  </w:style>
  <w:style w:type="paragraph" w:styleId="Normlnweb">
    <w:name w:val="Normal (Web)"/>
    <w:basedOn w:val="Normln"/>
    <w:uiPriority w:val="99"/>
    <w:semiHidden/>
    <w:unhideWhenUsed/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Pr>
      <w:rFonts w:ascii="Calibri" w:eastAsia="Calibri" w:hAnsi="Calibri"/>
      <w:sz w:val="22"/>
      <w:szCs w:val="22"/>
      <w:lang w:eastAsia="zh-C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Pr>
      <w:color w:val="605E5C"/>
      <w:shd w:val="clear" w:color="auto" w:fill="E1DFDD"/>
    </w:r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2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5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8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4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5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2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13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019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300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956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81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5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57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24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500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940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6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36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611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706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12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13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44113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9569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776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700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chart" Target="charts/chart4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mpsv.cz/web/cz/mesicn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ka\Desktop\tiskov&#225;%20zpr&#225;va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ad.mpsv.cz\MPSV\spoldisk\sd_0329\45\STATISTIKY\Tiskov&#225;%20zpr&#225;va%20-%20NOV&#193;\TZ_grafy%2010_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ad.mpsv.cz\MPSV\spoldisk\sd_0329\45\STATISTIKY\Tiskov&#225;%20zpr&#225;va%20-%20NOV&#193;\TZ_grafy%2010_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000" b="1" baseline="0">
                <a:solidFill>
                  <a:schemeClr val="accent1">
                    <a:lumMod val="50000"/>
                  </a:schemeClr>
                </a:solidFill>
              </a:rPr>
              <a:t>Nezaměstnanost v regionech - 2020/2021</a:t>
            </a:r>
          </a:p>
        </c:rich>
      </c:tx>
      <c:layout>
        <c:manualLayout>
          <c:xMode val="edge"/>
          <c:yMode val="edge"/>
          <c:x val="0.1778691243841433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accent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746357445638202E-2"/>
          <c:y val="6.8900988440274757E-2"/>
          <c:w val="0.97230446194225739"/>
          <c:h val="0.86514130754514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'Graf do TZ z UCH1'!$D$20</c:f>
              <c:strCache>
                <c:ptCount val="1"/>
                <c:pt idx="0">
                  <c:v>31.10.2020</c:v>
                </c:pt>
              </c:strCache>
            </c:strRef>
          </c:tx>
          <c:spPr>
            <a:solidFill>
              <a:srgbClr val="33CA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96-408E-AD6F-F53AB9F77774}"/>
              </c:ext>
            </c:extLst>
          </c:dPt>
          <c:dPt>
            <c:idx val="2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96-408E-AD6F-F53AB9F77774}"/>
              </c:ext>
            </c:extLst>
          </c:dPt>
          <c:dPt>
            <c:idx val="5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A96-408E-AD6F-F53AB9F77774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A96-408E-AD6F-F53AB9F77774}"/>
              </c:ext>
            </c:extLst>
          </c:dPt>
          <c:dPt>
            <c:idx val="10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A96-408E-AD6F-F53AB9F77774}"/>
              </c:ext>
            </c:extLst>
          </c:dPt>
          <c:dPt>
            <c:idx val="12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A96-408E-AD6F-F53AB9F77774}"/>
              </c:ext>
            </c:extLst>
          </c:dPt>
          <c:dPt>
            <c:idx val="13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A96-408E-AD6F-F53AB9F77774}"/>
              </c:ext>
            </c:extLst>
          </c:dPt>
          <c:dPt>
            <c:idx val="14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A96-408E-AD6F-F53AB9F77774}"/>
              </c:ext>
            </c:extLst>
          </c:dPt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 do TZ z UCH1'!$B$21:$B$35</c:f>
              <c:strCache>
                <c:ptCount val="15"/>
                <c:pt idx="0">
                  <c:v>PAK</c:v>
                </c:pt>
                <c:pt idx="1">
                  <c:v>JČK</c:v>
                </c:pt>
                <c:pt idx="2">
                  <c:v>ZLK</c:v>
                </c:pt>
                <c:pt idx="3">
                  <c:v>HKK</c:v>
                </c:pt>
                <c:pt idx="4">
                  <c:v>PZK</c:v>
                </c:pt>
                <c:pt idx="5">
                  <c:v>VYK</c:v>
                </c:pt>
                <c:pt idx="6">
                  <c:v>SČK</c:v>
                </c:pt>
                <c:pt idx="7">
                  <c:v>AB</c:v>
                </c:pt>
                <c:pt idx="8">
                  <c:v>OLK</c:v>
                </c:pt>
                <c:pt idx="9">
                  <c:v>ČR</c:v>
                </c:pt>
                <c:pt idx="10">
                  <c:v>LBK</c:v>
                </c:pt>
                <c:pt idx="11">
                  <c:v>JMK</c:v>
                </c:pt>
                <c:pt idx="12">
                  <c:v>KVK</c:v>
                </c:pt>
                <c:pt idx="13">
                  <c:v>ULK</c:v>
                </c:pt>
                <c:pt idx="14">
                  <c:v>MSK</c:v>
                </c:pt>
              </c:strCache>
            </c:strRef>
          </c:cat>
          <c:val>
            <c:numRef>
              <c:f>'Graf do TZ z UCH1'!$D$21:$D$35</c:f>
              <c:numCache>
                <c:formatCode>0.0</c:formatCode>
                <c:ptCount val="15"/>
                <c:pt idx="0">
                  <c:v>2.4820152554014485</c:v>
                </c:pt>
                <c:pt idx="1">
                  <c:v>2.6505781898502367</c:v>
                </c:pt>
                <c:pt idx="2">
                  <c:v>2.8630519420909675</c:v>
                </c:pt>
                <c:pt idx="3">
                  <c:v>2.8275647602135567</c:v>
                </c:pt>
                <c:pt idx="4">
                  <c:v>3.048919588525834</c:v>
                </c:pt>
                <c:pt idx="5">
                  <c:v>2.8706909575238866</c:v>
                </c:pt>
                <c:pt idx="6">
                  <c:v>3.2678374091479481</c:v>
                </c:pt>
                <c:pt idx="7">
                  <c:v>3.4160615106874475</c:v>
                </c:pt>
                <c:pt idx="8">
                  <c:v>3.577865897620764</c:v>
                </c:pt>
                <c:pt idx="9">
                  <c:v>3.6998831819546614</c:v>
                </c:pt>
                <c:pt idx="10">
                  <c:v>3.8035046170636972</c:v>
                </c:pt>
                <c:pt idx="11">
                  <c:v>4.1377726205233198</c:v>
                </c:pt>
                <c:pt idx="12">
                  <c:v>5.0191267992720672</c:v>
                </c:pt>
                <c:pt idx="13">
                  <c:v>5.2332397025128072</c:v>
                </c:pt>
                <c:pt idx="14">
                  <c:v>5.2774313931323711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A96-408E-AD6F-F53AB9F77774}"/>
            </c:ext>
          </c:extLst>
        </c:ser>
        <c:ser>
          <c:idx val="0"/>
          <c:order val="1"/>
          <c:tx>
            <c:strRef>
              <c:f>'Graf do TZ z UCH1'!$C$20</c:f>
              <c:strCache>
                <c:ptCount val="1"/>
                <c:pt idx="0">
                  <c:v>31.10.2021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5A96-408E-AD6F-F53AB9F77774}"/>
              </c:ext>
            </c:extLst>
          </c:dPt>
          <c:dPt>
            <c:idx val="2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5A96-408E-AD6F-F53AB9F77774}"/>
              </c:ext>
            </c:extLst>
          </c:dPt>
          <c:dPt>
            <c:idx val="5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5A96-408E-AD6F-F53AB9F77774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5A96-408E-AD6F-F53AB9F77774}"/>
              </c:ext>
            </c:extLst>
          </c:dPt>
          <c:dPt>
            <c:idx val="10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A-5A96-408E-AD6F-F53AB9F77774}"/>
              </c:ext>
            </c:extLst>
          </c:dPt>
          <c:dPt>
            <c:idx val="12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5A96-408E-AD6F-F53AB9F77774}"/>
              </c:ext>
            </c:extLst>
          </c:dPt>
          <c:dPt>
            <c:idx val="13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5A96-408E-AD6F-F53AB9F77774}"/>
              </c:ext>
            </c:extLst>
          </c:dPt>
          <c:dPt>
            <c:idx val="14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5A96-408E-AD6F-F53AB9F77774}"/>
              </c:ext>
            </c:extLst>
          </c:dPt>
          <c:dLbls>
            <c:dLbl>
              <c:idx val="9"/>
              <c:layout>
                <c:manualLayout>
                  <c:x val="0"/>
                  <c:y val="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A96-408E-AD6F-F53AB9F77774}"/>
                </c:ext>
              </c:extLst>
            </c:dLbl>
            <c:dLbl>
              <c:idx val="14"/>
              <c:layout>
                <c:manualLayout>
                  <c:x val="9.1116173120727815E-3"/>
                  <c:y val="2.5531914893617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A96-408E-AD6F-F53AB9F7777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 do TZ z UCH1'!$B$21:$B$35</c:f>
              <c:strCache>
                <c:ptCount val="15"/>
                <c:pt idx="0">
                  <c:v>PAK</c:v>
                </c:pt>
                <c:pt idx="1">
                  <c:v>JČK</c:v>
                </c:pt>
                <c:pt idx="2">
                  <c:v>ZLK</c:v>
                </c:pt>
                <c:pt idx="3">
                  <c:v>HKK</c:v>
                </c:pt>
                <c:pt idx="4">
                  <c:v>PZK</c:v>
                </c:pt>
                <c:pt idx="5">
                  <c:v>VYK</c:v>
                </c:pt>
                <c:pt idx="6">
                  <c:v>SČK</c:v>
                </c:pt>
                <c:pt idx="7">
                  <c:v>AB</c:v>
                </c:pt>
                <c:pt idx="8">
                  <c:v>OLK</c:v>
                </c:pt>
                <c:pt idx="9">
                  <c:v>ČR</c:v>
                </c:pt>
                <c:pt idx="10">
                  <c:v>LBK</c:v>
                </c:pt>
                <c:pt idx="11">
                  <c:v>JMK</c:v>
                </c:pt>
                <c:pt idx="12">
                  <c:v>KVK</c:v>
                </c:pt>
                <c:pt idx="13">
                  <c:v>ULK</c:v>
                </c:pt>
                <c:pt idx="14">
                  <c:v>MSK</c:v>
                </c:pt>
              </c:strCache>
            </c:strRef>
          </c:cat>
          <c:val>
            <c:numRef>
              <c:f>'Graf do TZ z UCH1'!$C$21:$C$35</c:f>
              <c:numCache>
                <c:formatCode>0.0</c:formatCode>
                <c:ptCount val="15"/>
                <c:pt idx="0">
                  <c:v>2.1139283381</c:v>
                </c:pt>
                <c:pt idx="1">
                  <c:v>2.5071824185999998</c:v>
                </c:pt>
                <c:pt idx="2">
                  <c:v>2.5604307480999999</c:v>
                </c:pt>
                <c:pt idx="3">
                  <c:v>2.5683159169000001</c:v>
                </c:pt>
                <c:pt idx="4">
                  <c:v>2.6057153173000001</c:v>
                </c:pt>
                <c:pt idx="5">
                  <c:v>2.6315789474</c:v>
                </c:pt>
                <c:pt idx="6">
                  <c:v>2.9826123065000001</c:v>
                </c:pt>
                <c:pt idx="7">
                  <c:v>2.9899895529</c:v>
                </c:pt>
                <c:pt idx="8">
                  <c:v>3.0474479263999998</c:v>
                </c:pt>
                <c:pt idx="9">
                  <c:v>3.3805120005</c:v>
                </c:pt>
                <c:pt idx="10">
                  <c:v>3.6556103939</c:v>
                </c:pt>
                <c:pt idx="11">
                  <c:v>3.7591395010999999</c:v>
                </c:pt>
                <c:pt idx="12">
                  <c:v>4.2589083144000002</c:v>
                </c:pt>
                <c:pt idx="13">
                  <c:v>5.0463017119</c:v>
                </c:pt>
                <c:pt idx="14">
                  <c:v>5.1072119123000004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5A96-408E-AD6F-F53AB9F77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5869824"/>
        <c:axId val="315498992"/>
      </c:barChart>
      <c:catAx>
        <c:axId val="33586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315498992"/>
        <c:crosses val="autoZero"/>
        <c:auto val="1"/>
        <c:lblAlgn val="ctr"/>
        <c:lblOffset val="100"/>
        <c:noMultiLvlLbl val="0"/>
      </c:catAx>
      <c:valAx>
        <c:axId val="315498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33586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961054250934686E-2"/>
          <c:y val="0.12787023622047244"/>
          <c:w val="0.42168124046222616"/>
          <c:h val="6.62418563075251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</a:rPr>
              <a:t>Struktura UoZ dle věku</a:t>
            </a:r>
          </a:p>
        </c:rich>
      </c:tx>
      <c:layout>
        <c:manualLayout>
          <c:xMode val="edge"/>
          <c:yMode val="edge"/>
          <c:x val="0.24337013631979731"/>
          <c:y val="1.03338981361507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0955822021333257"/>
          <c:y val="0.12422110952945044"/>
          <c:w val="0.86302638586995639"/>
          <c:h val="0.705945429387698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'TZ grafy UCH2'!$A$4</c:f>
              <c:strCache>
                <c:ptCount val="1"/>
                <c:pt idx="0">
                  <c:v>do 29 let</c:v>
                </c:pt>
              </c:strCache>
            </c:strRef>
          </c:tx>
          <c:spPr>
            <a:solidFill>
              <a:srgbClr val="3079A6"/>
            </a:soli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UCH2'!$B$4:$F$4</c:f>
              <c:numCache>
                <c:formatCode>#\ ##0.0</c:formatCode>
                <c:ptCount val="5"/>
                <c:pt idx="0">
                  <c:v>22.66560461402868</c:v>
                </c:pt>
                <c:pt idx="1">
                  <c:v>23.254584411609205</c:v>
                </c:pt>
                <c:pt idx="2">
                  <c:v>23.890432428581605</c:v>
                </c:pt>
                <c:pt idx="3">
                  <c:v>23.580617258957986</c:v>
                </c:pt>
                <c:pt idx="4">
                  <c:v>21.743898223601349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57-4BB8-9E38-46AB8F930444}"/>
            </c:ext>
          </c:extLst>
        </c:ser>
        <c:ser>
          <c:idx val="1"/>
          <c:order val="1"/>
          <c:tx>
            <c:strRef>
              <c:f>'TZ grafy UCH2'!$A$5</c:f>
              <c:strCache>
                <c:ptCount val="1"/>
                <c:pt idx="0">
                  <c:v>30-49 let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UCH2'!$B$5:$F$5</c:f>
              <c:numCache>
                <c:formatCode>#\ ##0.0</c:formatCode>
                <c:ptCount val="5"/>
                <c:pt idx="0">
                  <c:v>41.32085421483702</c:v>
                </c:pt>
                <c:pt idx="1">
                  <c:v>40.826075261336968</c:v>
                </c:pt>
                <c:pt idx="2">
                  <c:v>40.53572700719527</c:v>
                </c:pt>
                <c:pt idx="3">
                  <c:v>42.088816092165558</c:v>
                </c:pt>
                <c:pt idx="4">
                  <c:v>41.384406946668307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57-4BB8-9E38-46AB8F930444}"/>
            </c:ext>
          </c:extLst>
        </c:ser>
        <c:ser>
          <c:idx val="2"/>
          <c:order val="2"/>
          <c:tx>
            <c:strRef>
              <c:f>'TZ grafy UCH2'!$A$6</c:f>
              <c:strCache>
                <c:ptCount val="1"/>
                <c:pt idx="0">
                  <c:v>50 +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UCH2'!$B$6:$F$6</c:f>
              <c:numCache>
                <c:formatCode>#\ ##0.0</c:formatCode>
                <c:ptCount val="5"/>
                <c:pt idx="0">
                  <c:v>36.013541171134293</c:v>
                </c:pt>
                <c:pt idx="1">
                  <c:v>35.919340327053831</c:v>
                </c:pt>
                <c:pt idx="2">
                  <c:v>35.573840564223126</c:v>
                </c:pt>
                <c:pt idx="3">
                  <c:v>34.330566648876456</c:v>
                </c:pt>
                <c:pt idx="4">
                  <c:v>36.871694829730338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57-4BB8-9E38-46AB8F930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0080"/>
        <c:axId val="1983065760"/>
      </c:barChart>
      <c:catAx>
        <c:axId val="53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83065760"/>
        <c:crosses val="autoZero"/>
        <c:auto val="1"/>
        <c:lblAlgn val="ctr"/>
        <c:lblOffset val="100"/>
        <c:noMultiLvlLbl val="0"/>
      </c:catAx>
      <c:valAx>
        <c:axId val="19830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33008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6208495875858295"/>
          <c:y val="0.93331207016844409"/>
          <c:w val="0.58344038348040128"/>
          <c:h val="6.6687812808823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cs-CZ" sz="1200" b="1" baseline="0">
                <a:solidFill>
                  <a:srgbClr val="0070C0"/>
                </a:solidFill>
                <a:latin typeface="+mn-lt"/>
                <a:cs typeface="Arial" panose="020B0604020202020204" pitchFamily="34" charset="0"/>
              </a:rPr>
              <a:t>S</a:t>
            </a:r>
            <a:r>
              <a:rPr lang="en-US" sz="1200" b="1" baseline="0">
                <a:solidFill>
                  <a:srgbClr val="0070C0"/>
                </a:solidFill>
                <a:latin typeface="+mn-lt"/>
                <a:cs typeface="Arial" panose="020B0604020202020204" pitchFamily="34" charset="0"/>
              </a:rPr>
              <a:t>truktura </a:t>
            </a:r>
            <a:r>
              <a:rPr lang="cs-CZ" sz="1200" b="1" baseline="0">
                <a:solidFill>
                  <a:srgbClr val="0070C0"/>
                </a:solidFill>
                <a:latin typeface="+mn-lt"/>
                <a:cs typeface="Arial" panose="020B0604020202020204" pitchFamily="34" charset="0"/>
              </a:rPr>
              <a:t>UoZ dle vzdělání</a:t>
            </a:r>
            <a:endParaRPr lang="en-US" sz="1200" b="1" baseline="0">
              <a:solidFill>
                <a:srgbClr val="0070C0"/>
              </a:solidFill>
              <a:latin typeface="+mn-lt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029271515885689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3171477341556082"/>
          <c:y val="0.10329168853893263"/>
          <c:w val="0.84933408379856234"/>
          <c:h val="0.7420015164771069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9782014090343583E-3"/>
                  <c:y val="0.2666281714785651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561624533775384"/>
                      <c:h val="0.174344756201249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D43E-4A81-98D6-C8A9C0889CE1}"/>
                </c:ext>
              </c:extLst>
            </c:dLbl>
            <c:dLbl>
              <c:idx val="2"/>
              <c:layout>
                <c:manualLayout>
                  <c:x val="-6.2716949854952344E-3"/>
                  <c:y val="0.108705745115193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142909241607956"/>
                      <c:h val="0.223281948911315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43E-4A81-98D6-C8A9C0889CE1}"/>
                </c:ext>
              </c:extLst>
            </c:dLbl>
            <c:dLbl>
              <c:idx val="3"/>
              <c:layout>
                <c:manualLayout>
                  <c:x val="-1.1306755076668049E-2"/>
                  <c:y val="0.2408268299795858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165951098217985"/>
                      <c:h val="0.179441236512102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43E-4A81-98D6-C8A9C0889CE1}"/>
                </c:ext>
              </c:extLst>
            </c:dLbl>
            <c:dLbl>
              <c:idx val="5"/>
              <c:layout>
                <c:manualLayout>
                  <c:x val="-2.1049316203897109E-3"/>
                  <c:y val="-2.37034703995334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503456278491505"/>
                      <c:h val="0.195611081948089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43E-4A81-98D6-C8A9C0889CE1}"/>
                </c:ext>
              </c:extLst>
            </c:dLbl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accent1">
                    <a:lumMod val="75000"/>
                    <a:alpha val="92000"/>
                  </a:schemeClr>
                </a:solidFill>
              </a:ln>
              <a:effectLst>
                <a:softEdge rad="25400"/>
              </a:effectLst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'TZ grafy UCH2'!$A$58:$A$63</c:f>
              <c:strCache>
                <c:ptCount val="6"/>
                <c:pt idx="0">
                  <c:v>bez vzdělání</c:v>
                </c:pt>
                <c:pt idx="1">
                  <c:v>ZŠ</c:v>
                </c:pt>
                <c:pt idx="2">
                  <c:v>vyučen/a</c:v>
                </c:pt>
                <c:pt idx="3">
                  <c:v>SŠ</c:v>
                </c:pt>
                <c:pt idx="4">
                  <c:v>VOŠ</c:v>
                </c:pt>
                <c:pt idx="5">
                  <c:v>VŠ</c:v>
                </c:pt>
              </c:strCache>
            </c:strRef>
          </c:cat>
          <c:val>
            <c:numRef>
              <c:f>'TZ grafy UCH2'!$F$58:$F$63</c:f>
              <c:numCache>
                <c:formatCode>#,##0</c:formatCode>
                <c:ptCount val="6"/>
                <c:pt idx="0">
                  <c:v>8070</c:v>
                </c:pt>
                <c:pt idx="1">
                  <c:v>69070</c:v>
                </c:pt>
                <c:pt idx="2">
                  <c:v>89818</c:v>
                </c:pt>
                <c:pt idx="3">
                  <c:v>61688</c:v>
                </c:pt>
                <c:pt idx="4">
                  <c:v>2293</c:v>
                </c:pt>
                <c:pt idx="5">
                  <c:v>20750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3E-4A81-98D6-C8A9C0889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-27"/>
        <c:axId val="1118121768"/>
        <c:axId val="1118122752"/>
      </c:barChart>
      <c:catAx>
        <c:axId val="1118121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8122752"/>
        <c:crosses val="autoZero"/>
        <c:auto val="1"/>
        <c:lblAlgn val="ctr"/>
        <c:lblOffset val="100"/>
        <c:noMultiLvlLbl val="0"/>
      </c:catAx>
      <c:valAx>
        <c:axId val="1118122752"/>
        <c:scaling>
          <c:orientation val="minMax"/>
          <c:max val="9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1118121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000" b="1" i="0" baseline="0">
                <a:solidFill>
                  <a:schemeClr val="accent1"/>
                </a:solidFill>
                <a:latin typeface="Arial" panose="020B0604020202020204" pitchFamily="34" charset="0"/>
              </a:rPr>
              <a:t>Počet a</a:t>
            </a:r>
            <a:r>
              <a:rPr lang="en-US" sz="1000" b="1" i="0" baseline="0">
                <a:solidFill>
                  <a:schemeClr val="accent1"/>
                </a:solidFill>
                <a:latin typeface="Arial" panose="020B0604020202020204" pitchFamily="34" charset="0"/>
              </a:rPr>
              <a:t>bsolvent</a:t>
            </a:r>
            <a:r>
              <a:rPr lang="cs-CZ" sz="1000" b="1" i="0" baseline="0">
                <a:solidFill>
                  <a:schemeClr val="accent1"/>
                </a:solidFill>
                <a:latin typeface="Arial" panose="020B0604020202020204" pitchFamily="34" charset="0"/>
              </a:rPr>
              <a:t>ů </a:t>
            </a:r>
            <a:r>
              <a:rPr lang="cs-CZ" sz="1000" b="0" i="0" baseline="0">
                <a:solidFill>
                  <a:schemeClr val="accent1"/>
                </a:solidFill>
                <a:latin typeface="Arial" panose="020B0604020202020204" pitchFamily="34" charset="0"/>
              </a:rPr>
              <a:t>(</a:t>
            </a:r>
            <a:r>
              <a:rPr lang="en-US" sz="900" baseline="0">
                <a:solidFill>
                  <a:schemeClr val="accent1"/>
                </a:solidFill>
                <a:latin typeface="Arial" panose="020B0604020202020204" pitchFamily="34" charset="0"/>
              </a:rPr>
              <a:t>bez </a:t>
            </a:r>
            <a:r>
              <a:rPr lang="cs-CZ" sz="900" baseline="0">
                <a:solidFill>
                  <a:schemeClr val="accent1"/>
                </a:solidFill>
                <a:latin typeface="Arial" panose="020B0604020202020204" pitchFamily="34" charset="0"/>
              </a:rPr>
              <a:t>mladistvých)</a:t>
            </a:r>
            <a:endParaRPr lang="en-US" sz="900" baseline="0">
              <a:solidFill>
                <a:schemeClr val="accent1"/>
              </a:solidFill>
              <a:latin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8854756520677693"/>
          <c:y val="4.629667480023456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'ABS bez mlad'!$B$11</c:f>
              <c:strCache>
                <c:ptCount val="1"/>
                <c:pt idx="0">
                  <c:v>Absolventi bez MLD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'ABS bez mlad'!$C$10:$F$10</c:f>
              <c:strCache>
                <c:ptCount val="4"/>
                <c:pt idx="0">
                  <c:v> 10/2019</c:v>
                </c:pt>
                <c:pt idx="1">
                  <c:v> 10/2020</c:v>
                </c:pt>
                <c:pt idx="2">
                  <c:v> 09/2021</c:v>
                </c:pt>
                <c:pt idx="3">
                  <c:v> 10/2021</c:v>
                </c:pt>
              </c:strCache>
            </c:strRef>
          </c:cat>
          <c:val>
            <c:numRef>
              <c:f>'ABS bez mlad'!$C$11:$F$11</c:f>
              <c:numCache>
                <c:formatCode>General</c:formatCode>
                <c:ptCount val="4"/>
                <c:pt idx="0">
                  <c:v>8456</c:v>
                </c:pt>
                <c:pt idx="1">
                  <c:v>11859</c:v>
                </c:pt>
                <c:pt idx="2">
                  <c:v>12805</c:v>
                </c:pt>
                <c:pt idx="3">
                  <c:v>11192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3B-4F15-9752-D4EC4DDC3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3709080"/>
        <c:axId val="713707112"/>
      </c:barChart>
      <c:catAx>
        <c:axId val="713709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13707112"/>
        <c:crosses val="autoZero"/>
        <c:auto val="1"/>
        <c:lblAlgn val="ctr"/>
        <c:lblOffset val="100"/>
        <c:noMultiLvlLbl val="0"/>
      </c:catAx>
      <c:valAx>
        <c:axId val="713707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713709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  <a:latin typeface="Calibri" panose="020F0502020204030204" pitchFamily="34" charset="0"/>
              </a:rPr>
              <a:t>Struktura UoZ dle délky evidence</a:t>
            </a:r>
          </a:p>
        </c:rich>
      </c:tx>
      <c:layout>
        <c:manualLayout>
          <c:xMode val="edge"/>
          <c:yMode val="edge"/>
          <c:x val="0.1857611548556430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485072178477691"/>
          <c:y val="9.6844289812610618E-2"/>
          <c:w val="0.87456408573928246"/>
          <c:h val="0.7158517975950680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'TZ grafy UCH2'!$A$43</c:f>
              <c:strCache>
                <c:ptCount val="1"/>
                <c:pt idx="0">
                  <c:v>do 3 měsíců</c:v>
                </c:pt>
              </c:strCache>
            </c:strRef>
          </c:tx>
          <c:spPr>
            <a:solidFill>
              <a:srgbClr val="3079A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UCH2'!$B$43:$F$43</c:f>
              <c:numCache>
                <c:formatCode>#\ ##0.0</c:formatCode>
                <c:ptCount val="5"/>
                <c:pt idx="0">
                  <c:v>31.277818956902053</c:v>
                </c:pt>
                <c:pt idx="1">
                  <c:v>38.324475239075788</c:v>
                </c:pt>
                <c:pt idx="2">
                  <c:v>41.988520135560101</c:v>
                </c:pt>
                <c:pt idx="3">
                  <c:v>33.645582199974235</c:v>
                </c:pt>
                <c:pt idx="4">
                  <c:v>29.803447905947415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E-4893-BFDC-C5FEE7E46248}"/>
            </c:ext>
          </c:extLst>
        </c:ser>
        <c:ser>
          <c:idx val="1"/>
          <c:order val="1"/>
          <c:tx>
            <c:strRef>
              <c:f>'TZ grafy UCH2'!$A$44</c:f>
              <c:strCache>
                <c:ptCount val="1"/>
                <c:pt idx="0">
                  <c:v>3-12 měsíců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UCH2'!$B$44:$F$44</c:f>
              <c:numCache>
                <c:formatCode>#\ ##0.0</c:formatCode>
                <c:ptCount val="5"/>
                <c:pt idx="0">
                  <c:v>31.538538128796009</c:v>
                </c:pt>
                <c:pt idx="1">
                  <c:v>32.102475628646424</c:v>
                </c:pt>
                <c:pt idx="2">
                  <c:v>35.165226595019284</c:v>
                </c:pt>
                <c:pt idx="3">
                  <c:v>43.478660949261098</c:v>
                </c:pt>
                <c:pt idx="4">
                  <c:v>34.578388407916123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8E-4893-BFDC-C5FEE7E46248}"/>
            </c:ext>
          </c:extLst>
        </c:ser>
        <c:ser>
          <c:idx val="2"/>
          <c:order val="2"/>
          <c:tx>
            <c:strRef>
              <c:f>'TZ grafy UCH2'!$A$45</c:f>
              <c:strCache>
                <c:ptCount val="1"/>
                <c:pt idx="0">
                  <c:v>12 a více měsíců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ysClr val="windowText" lastClr="000000">
                  <a:lumMod val="25000"/>
                  <a:lumOff val="75000"/>
                  <a:alpha val="95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7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UCH2'!$B$45:$F$45</c:f>
              <c:numCache>
                <c:formatCode>#\ ##0.0</c:formatCode>
                <c:ptCount val="5"/>
                <c:pt idx="0">
                  <c:v>37.183642914301942</c:v>
                </c:pt>
                <c:pt idx="1">
                  <c:v>29.573049132277784</c:v>
                </c:pt>
                <c:pt idx="2">
                  <c:v>22.846253269420615</c:v>
                </c:pt>
                <c:pt idx="3">
                  <c:v>22.875756850764674</c:v>
                </c:pt>
                <c:pt idx="4">
                  <c:v>35.618163686136462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8E-4893-BFDC-C5FEE7E46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0080"/>
        <c:axId val="1983065760"/>
      </c:barChart>
      <c:catAx>
        <c:axId val="53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83065760"/>
        <c:crosses val="autoZero"/>
        <c:auto val="1"/>
        <c:lblAlgn val="ctr"/>
        <c:lblOffset val="100"/>
        <c:noMultiLvlLbl val="0"/>
      </c:catAx>
      <c:valAx>
        <c:axId val="19830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33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15124671916011"/>
          <c:y val="0.90889678325093082"/>
          <c:w val="0.85761515748031492"/>
          <c:h val="9.10937549810322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/>
              <a:t>Vývoj </a:t>
            </a:r>
            <a:r>
              <a:rPr lang="en-US" sz="1400"/>
              <a:t>výše podpory</a:t>
            </a:r>
            <a:r>
              <a:rPr lang="cs-CZ" sz="1400"/>
              <a:t> v nezaměstnanosti</a:t>
            </a:r>
          </a:p>
        </c:rich>
      </c:tx>
      <c:layout>
        <c:manualLayout>
          <c:xMode val="edge"/>
          <c:yMode val="edge"/>
          <c:x val="0.2437568909834226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768732254193133"/>
          <c:y val="0.24843410852713183"/>
          <c:w val="0.76860385016928656"/>
          <c:h val="0.6325068668741988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rgbClr val="FF0000"/>
                </a:solidFill>
                <a:prstDash val="lgDash"/>
              </a:ln>
              <a:effectLst/>
            </c:spPr>
            <c:trendlineType val="exp"/>
            <c:dispRSqr val="0"/>
            <c:dispEq val="0"/>
          </c:trendline>
          <c:cat>
            <c:numRef>
              <c:f>'TZ grafy UCH2'!$B$76:$F$76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'TZ grafy UCH2'!$B$77:$F$77</c:f>
              <c:numCache>
                <c:formatCode>#,##0</c:formatCode>
                <c:ptCount val="5"/>
                <c:pt idx="0">
                  <c:v>7090</c:v>
                </c:pt>
                <c:pt idx="1">
                  <c:v>7662</c:v>
                </c:pt>
                <c:pt idx="2">
                  <c:v>8289</c:v>
                </c:pt>
                <c:pt idx="3">
                  <c:v>8684</c:v>
                </c:pt>
                <c:pt idx="4">
                  <c:v>9373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4B-4B6B-9F17-7A9B51C18C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33215744"/>
        <c:axId val="345311184"/>
      </c:barChart>
      <c:catAx>
        <c:axId val="3332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5311184"/>
        <c:crosses val="autoZero"/>
        <c:auto val="1"/>
        <c:lblAlgn val="ctr"/>
        <c:lblOffset val="100"/>
        <c:noMultiLvlLbl val="0"/>
      </c:catAx>
      <c:valAx>
        <c:axId val="345311184"/>
        <c:scaling>
          <c:orientation val="minMax"/>
          <c:max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321574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chemeClr val="accent1"/>
                </a:solidFill>
              </a:rPr>
              <a:t>Počet podpořených uchazečů na</a:t>
            </a:r>
            <a:r>
              <a:rPr lang="cs-CZ" sz="1100" b="1" baseline="0">
                <a:solidFill>
                  <a:schemeClr val="accent1"/>
                </a:solidFill>
              </a:rPr>
              <a:t> vybrané nástroje APZ</a:t>
            </a:r>
            <a:endParaRPr lang="cs-CZ" sz="1100" b="1">
              <a:solidFill>
                <a:schemeClr val="accent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3678258967629052E-2"/>
          <c:y val="0.15194444444444444"/>
          <c:w val="0.89409951881014871"/>
          <c:h val="0.689730242053076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APZ'!$A$2:$A$7</c:f>
              <c:strCache>
                <c:ptCount val="6"/>
                <c:pt idx="0">
                  <c:v>VPP</c:v>
                </c:pt>
                <c:pt idx="1">
                  <c:v>SÚPM vyhr.</c:v>
                </c:pt>
                <c:pt idx="2">
                  <c:v>SÚPM zříz.</c:v>
                </c:pt>
                <c:pt idx="3">
                  <c:v>SÚPM SVČ</c:v>
                </c:pt>
                <c:pt idx="4">
                  <c:v>Rekval.</c:v>
                </c:pt>
                <c:pt idx="5">
                  <c:v>OZP</c:v>
                </c:pt>
              </c:strCache>
            </c:strRef>
          </c:cat>
          <c:val>
            <c:numRef>
              <c:f>'graf APZ'!$C$2:$C$7</c:f>
              <c:numCache>
                <c:formatCode>#,##0</c:formatCode>
                <c:ptCount val="6"/>
                <c:pt idx="0">
                  <c:v>7562</c:v>
                </c:pt>
                <c:pt idx="1">
                  <c:v>4774</c:v>
                </c:pt>
                <c:pt idx="2">
                  <c:v>10</c:v>
                </c:pt>
                <c:pt idx="3">
                  <c:v>550</c:v>
                </c:pt>
                <c:pt idx="4">
                  <c:v>1517</c:v>
                </c:pt>
                <c:pt idx="5">
                  <c:v>478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CA-48E4-9349-3FA3E4EBA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3367080"/>
        <c:axId val="693362488"/>
      </c:barChart>
      <c:catAx>
        <c:axId val="69336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3362488"/>
        <c:crosses val="autoZero"/>
        <c:auto val="1"/>
        <c:lblAlgn val="ctr"/>
        <c:lblOffset val="100"/>
        <c:noMultiLvlLbl val="0"/>
      </c:catAx>
      <c:valAx>
        <c:axId val="693362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336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0-12T08:14:16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149 110 10003,'-15'-34'1090,"-60"9"-1090,16 8-2372,59-17-2437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45BA-259C-4E22-AB32-D5829C22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</Template>
  <TotalTime>432</TotalTime>
  <Pages>1</Pages>
  <Words>1487</Words>
  <Characters>8777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Kacka</dc:creator>
  <cp:lastModifiedBy>Katka Berankova</cp:lastModifiedBy>
  <cp:revision>37</cp:revision>
  <cp:lastPrinted>2021-11-03T07:04:00Z</cp:lastPrinted>
  <dcterms:created xsi:type="dcterms:W3CDTF">2021-11-01T10:18:00Z</dcterms:created>
  <dcterms:modified xsi:type="dcterms:W3CDTF">2021-11-05T09:27:00Z</dcterms:modified>
</cp:coreProperties>
</file>